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EAE8" w14:textId="77777777" w:rsidR="00B8284B" w:rsidRPr="00B8284B" w:rsidRDefault="00B8284B" w:rsidP="00D1759E">
      <w:pPr>
        <w:spacing w:line="360" w:lineRule="auto"/>
        <w:jc w:val="center"/>
        <w:rPr>
          <w:rFonts w:ascii="Times New Roman" w:hAnsi="Times New Roman" w:cs="Times New Roman"/>
          <w:b/>
          <w:bCs/>
          <w:sz w:val="24"/>
          <w:szCs w:val="24"/>
          <w:u w:val="single"/>
        </w:rPr>
      </w:pPr>
      <w:r w:rsidRPr="00B8284B">
        <w:rPr>
          <w:rFonts w:ascii="Times New Roman" w:hAnsi="Times New Roman" w:cs="Times New Roman"/>
          <w:b/>
          <w:bCs/>
          <w:sz w:val="24"/>
          <w:szCs w:val="24"/>
          <w:u w:val="single"/>
        </w:rPr>
        <w:t>Corporate Finance</w:t>
      </w:r>
    </w:p>
    <w:p w14:paraId="3D0DC0E9" w14:textId="1315BB7A" w:rsidR="00A86E07" w:rsidRPr="0036727C" w:rsidRDefault="00B8284B" w:rsidP="00D1759E">
      <w:pPr>
        <w:spacing w:line="360" w:lineRule="auto"/>
        <w:jc w:val="both"/>
        <w:rPr>
          <w:rFonts w:ascii="Times New Roman" w:hAnsi="Times New Roman" w:cs="Times New Roman"/>
          <w:b/>
          <w:bCs/>
          <w:sz w:val="24"/>
          <w:szCs w:val="24"/>
        </w:rPr>
      </w:pPr>
      <w:r w:rsidRPr="0036727C">
        <w:rPr>
          <w:rFonts w:ascii="Times New Roman" w:hAnsi="Times New Roman" w:cs="Times New Roman"/>
          <w:b/>
          <w:bCs/>
          <w:sz w:val="24"/>
          <w:szCs w:val="24"/>
        </w:rPr>
        <w:t>Q</w:t>
      </w:r>
      <w:r w:rsidR="00A86E07" w:rsidRPr="0036727C">
        <w:rPr>
          <w:rFonts w:ascii="Times New Roman" w:hAnsi="Times New Roman" w:cs="Times New Roman"/>
          <w:b/>
          <w:bCs/>
          <w:sz w:val="24"/>
          <w:szCs w:val="24"/>
        </w:rPr>
        <w:t>.</w:t>
      </w:r>
      <w:r w:rsidRPr="0036727C">
        <w:rPr>
          <w:rFonts w:ascii="Times New Roman" w:hAnsi="Times New Roman" w:cs="Times New Roman"/>
          <w:b/>
          <w:bCs/>
          <w:sz w:val="24"/>
          <w:szCs w:val="24"/>
        </w:rPr>
        <w:t>1</w:t>
      </w:r>
      <w:r w:rsidR="00A86E07" w:rsidRPr="0036727C">
        <w:rPr>
          <w:rFonts w:ascii="Times New Roman" w:hAnsi="Times New Roman" w:cs="Times New Roman"/>
          <w:b/>
          <w:bCs/>
          <w:sz w:val="24"/>
          <w:szCs w:val="24"/>
        </w:rPr>
        <w:t>:</w:t>
      </w:r>
      <w:r w:rsidRPr="0036727C">
        <w:rPr>
          <w:rFonts w:ascii="Times New Roman" w:hAnsi="Times New Roman" w:cs="Times New Roman"/>
          <w:b/>
          <w:bCs/>
          <w:sz w:val="24"/>
          <w:szCs w:val="24"/>
        </w:rPr>
        <w:t xml:space="preserve"> An Indian FMCG company is experiencing rapid sales growth but is facing frequent</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cash flow shortages, leading to delayed supplier payments and missed opportunities</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for bulk inventory discounts. The CEO is concerned that poor liquidity management</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could undermine the company’s reputation and growth prospects. The finance</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 xml:space="preserve">manager must </w:t>
      </w:r>
      <w:proofErr w:type="spellStart"/>
      <w:r w:rsidRPr="0036727C">
        <w:rPr>
          <w:rFonts w:ascii="Times New Roman" w:hAnsi="Times New Roman" w:cs="Times New Roman"/>
          <w:b/>
          <w:bCs/>
          <w:sz w:val="24"/>
          <w:szCs w:val="24"/>
        </w:rPr>
        <w:t>analyze</w:t>
      </w:r>
      <w:proofErr w:type="spellEnd"/>
      <w:r w:rsidRPr="0036727C">
        <w:rPr>
          <w:rFonts w:ascii="Times New Roman" w:hAnsi="Times New Roman" w:cs="Times New Roman"/>
          <w:b/>
          <w:bCs/>
          <w:sz w:val="24"/>
          <w:szCs w:val="24"/>
        </w:rPr>
        <w:t xml:space="preserve"> the situation and implement effective working capital</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management strategies to optimize cash flow and maintain smooth operations. How</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should the finance manager apply working capital management principles to resolve</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the company’s liquidity challenges, ensuring operational efficiency and the ability to</w:t>
      </w:r>
      <w:r w:rsidR="00A86E07" w:rsidRPr="0036727C">
        <w:rPr>
          <w:rFonts w:ascii="Times New Roman" w:hAnsi="Times New Roman" w:cs="Times New Roman"/>
          <w:b/>
          <w:bCs/>
          <w:sz w:val="24"/>
          <w:szCs w:val="24"/>
        </w:rPr>
        <w:t xml:space="preserve"> </w:t>
      </w:r>
      <w:r w:rsidRPr="0036727C">
        <w:rPr>
          <w:rFonts w:ascii="Times New Roman" w:hAnsi="Times New Roman" w:cs="Times New Roman"/>
          <w:b/>
          <w:bCs/>
          <w:sz w:val="24"/>
          <w:szCs w:val="24"/>
        </w:rPr>
        <w:t>capitalize on new business opportunities?</w:t>
      </w:r>
    </w:p>
    <w:p w14:paraId="41F171A4" w14:textId="01F31298" w:rsidR="004534E2" w:rsidRPr="0036727C" w:rsidRDefault="004534E2" w:rsidP="00D1759E">
      <w:pPr>
        <w:spacing w:line="360" w:lineRule="auto"/>
        <w:jc w:val="both"/>
        <w:rPr>
          <w:rFonts w:ascii="Times New Roman" w:hAnsi="Times New Roman" w:cs="Times New Roman"/>
          <w:b/>
          <w:bCs/>
          <w:sz w:val="24"/>
          <w:szCs w:val="24"/>
        </w:rPr>
      </w:pPr>
      <w:r w:rsidRPr="0036727C">
        <w:rPr>
          <w:rFonts w:ascii="Times New Roman" w:hAnsi="Times New Roman" w:cs="Times New Roman"/>
          <w:b/>
          <w:bCs/>
          <w:sz w:val="24"/>
          <w:szCs w:val="24"/>
        </w:rPr>
        <w:t>Answer:</w:t>
      </w:r>
    </w:p>
    <w:p w14:paraId="63388D38" w14:textId="62AC4049" w:rsidR="00B00AE5" w:rsidRPr="00E135AD" w:rsidRDefault="00B00AE5" w:rsidP="00D1759E">
      <w:pPr>
        <w:spacing w:line="360" w:lineRule="auto"/>
        <w:jc w:val="both"/>
        <w:rPr>
          <w:rFonts w:ascii="Times New Roman" w:hAnsi="Times New Roman" w:cs="Times New Roman"/>
          <w:b/>
          <w:bCs/>
          <w:sz w:val="24"/>
          <w:szCs w:val="24"/>
        </w:rPr>
      </w:pPr>
      <w:r w:rsidRPr="00E135AD">
        <w:rPr>
          <w:rFonts w:ascii="Times New Roman" w:hAnsi="Times New Roman" w:cs="Times New Roman"/>
          <w:b/>
          <w:bCs/>
          <w:sz w:val="24"/>
          <w:szCs w:val="24"/>
          <w:u w:val="single"/>
        </w:rPr>
        <w:t>Introduction</w:t>
      </w:r>
      <w:r w:rsidR="00E135AD" w:rsidRPr="00E135AD">
        <w:rPr>
          <w:rFonts w:ascii="Times New Roman" w:hAnsi="Times New Roman" w:cs="Times New Roman"/>
          <w:b/>
          <w:bCs/>
          <w:sz w:val="24"/>
          <w:szCs w:val="24"/>
        </w:rPr>
        <w:t>:</w:t>
      </w:r>
    </w:p>
    <w:p w14:paraId="0B26C7FC" w14:textId="57EB4E7F" w:rsidR="00E739D4" w:rsidRDefault="00B00AE5" w:rsidP="0005549D">
      <w:pPr>
        <w:spacing w:line="360" w:lineRule="auto"/>
        <w:jc w:val="both"/>
        <w:rPr>
          <w:rFonts w:ascii="Times New Roman" w:hAnsi="Times New Roman" w:cs="Times New Roman"/>
          <w:sz w:val="24"/>
          <w:szCs w:val="24"/>
        </w:rPr>
      </w:pPr>
      <w:r w:rsidRPr="00B00AE5">
        <w:rPr>
          <w:rFonts w:ascii="Times New Roman" w:hAnsi="Times New Roman" w:cs="Times New Roman"/>
          <w:sz w:val="24"/>
          <w:szCs w:val="24"/>
        </w:rPr>
        <w:t xml:space="preserve">Working capital management is a critical aspect of financial management that ensures a company can meet its short-term obligations while maintaining smooth operations. For an Indian FMCG company experiencing rapid sales growth, effective working capital management becomes even more essential, as high revenue does not automatically translate into liquidity. Rapid growth often leads to increased inventory requirements, higher accounts receivable, and pressure on cash reserves, which can result in delayed supplier payments and missed opportunities for bulk discounts. Poor liquidity can damage the company’s reputation among suppliers, disrupt production schedules, and hinder its ability to seize market opportunities, thereby affecting long-term profitability and growth. The finance manager plays a pivotal role in </w:t>
      </w:r>
      <w:proofErr w:type="spellStart"/>
      <w:r w:rsidRPr="00B00AE5">
        <w:rPr>
          <w:rFonts w:ascii="Times New Roman" w:hAnsi="Times New Roman" w:cs="Times New Roman"/>
          <w:sz w:val="24"/>
          <w:szCs w:val="24"/>
        </w:rPr>
        <w:t>analyzing</w:t>
      </w:r>
      <w:proofErr w:type="spellEnd"/>
      <w:r w:rsidRPr="00B00AE5">
        <w:rPr>
          <w:rFonts w:ascii="Times New Roman" w:hAnsi="Times New Roman" w:cs="Times New Roman"/>
          <w:sz w:val="24"/>
          <w:szCs w:val="24"/>
        </w:rPr>
        <w:t xml:space="preserve"> the company’s cash flow patterns, identifying bottlenecks, and implementing strategies to optimize working capital.</w:t>
      </w:r>
    </w:p>
    <w:p w14:paraId="24609989" w14:textId="77777777" w:rsidR="0005549D" w:rsidRDefault="0005549D" w:rsidP="0005549D">
      <w:pPr>
        <w:spacing w:line="360" w:lineRule="auto"/>
        <w:jc w:val="both"/>
        <w:rPr>
          <w:rFonts w:ascii="Times New Roman" w:hAnsi="Times New Roman" w:cs="Times New Roman"/>
          <w:sz w:val="24"/>
          <w:szCs w:val="24"/>
        </w:rPr>
      </w:pPr>
    </w:p>
    <w:p w14:paraId="0179405E" w14:textId="77777777" w:rsidR="00075382" w:rsidRPr="002D336D" w:rsidRDefault="00075382" w:rsidP="000753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3A70A73" w14:textId="77777777" w:rsidR="00075382" w:rsidRPr="002D336D" w:rsidRDefault="00075382" w:rsidP="000753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A48AF60" w14:textId="77777777" w:rsidR="00075382" w:rsidRPr="002D336D" w:rsidRDefault="00075382" w:rsidP="000753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17CD3CC" w14:textId="77777777" w:rsidR="00075382" w:rsidRPr="002D336D" w:rsidRDefault="00075382" w:rsidP="000753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1CD61A12" w14:textId="77777777" w:rsidR="00075382" w:rsidRPr="002D336D" w:rsidRDefault="00075382" w:rsidP="0007538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5CB2D9A9" w14:textId="77777777" w:rsidR="00075382" w:rsidRPr="002D336D" w:rsidRDefault="00075382" w:rsidP="0007538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54552047" w14:textId="77777777" w:rsidR="00075382" w:rsidRPr="002D336D" w:rsidRDefault="00075382" w:rsidP="00075382">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60C4359B" w14:textId="77777777" w:rsidR="00075382" w:rsidRPr="002D336D" w:rsidRDefault="00075382" w:rsidP="00075382">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70D9A2F7" w14:textId="77777777" w:rsidR="0005549D" w:rsidRDefault="0005549D" w:rsidP="0005549D">
      <w:pPr>
        <w:spacing w:line="360" w:lineRule="auto"/>
        <w:jc w:val="both"/>
        <w:rPr>
          <w:rFonts w:ascii="Times New Roman" w:hAnsi="Times New Roman" w:cs="Times New Roman"/>
          <w:sz w:val="24"/>
          <w:szCs w:val="24"/>
        </w:rPr>
      </w:pPr>
    </w:p>
    <w:p w14:paraId="05077FC9" w14:textId="77777777" w:rsidR="003F524F" w:rsidRPr="002B4809" w:rsidRDefault="00B8284B" w:rsidP="00D1759E">
      <w:pPr>
        <w:spacing w:line="360" w:lineRule="auto"/>
        <w:jc w:val="both"/>
        <w:rPr>
          <w:rFonts w:ascii="Times New Roman" w:hAnsi="Times New Roman" w:cs="Times New Roman"/>
          <w:b/>
          <w:bCs/>
          <w:sz w:val="24"/>
          <w:szCs w:val="24"/>
        </w:rPr>
      </w:pPr>
      <w:r w:rsidRPr="002B4809">
        <w:rPr>
          <w:rFonts w:ascii="Times New Roman" w:hAnsi="Times New Roman" w:cs="Times New Roman"/>
          <w:b/>
          <w:bCs/>
          <w:sz w:val="24"/>
          <w:szCs w:val="24"/>
        </w:rPr>
        <w:t>Q2 (A) A perpetuity pays Rs.25,000 at the end of each year. However, due to inflation, the</w:t>
      </w:r>
      <w:r w:rsidR="003F524F" w:rsidRPr="002B4809">
        <w:rPr>
          <w:rFonts w:ascii="Times New Roman" w:hAnsi="Times New Roman" w:cs="Times New Roman"/>
          <w:b/>
          <w:bCs/>
          <w:sz w:val="24"/>
          <w:szCs w:val="24"/>
        </w:rPr>
        <w:t xml:space="preserve"> </w:t>
      </w:r>
      <w:r w:rsidRPr="002B4809">
        <w:rPr>
          <w:rFonts w:ascii="Times New Roman" w:hAnsi="Times New Roman" w:cs="Times New Roman"/>
          <w:b/>
          <w:bCs/>
          <w:sz w:val="24"/>
          <w:szCs w:val="24"/>
        </w:rPr>
        <w:t>payment increases by 4% annually. The appropriate discount rate is 10%. After 15</w:t>
      </w:r>
      <w:r w:rsidR="003F524F" w:rsidRPr="002B4809">
        <w:rPr>
          <w:rFonts w:ascii="Times New Roman" w:hAnsi="Times New Roman" w:cs="Times New Roman"/>
          <w:b/>
          <w:bCs/>
          <w:sz w:val="24"/>
          <w:szCs w:val="24"/>
        </w:rPr>
        <w:t xml:space="preserve"> </w:t>
      </w:r>
      <w:r w:rsidRPr="002B4809">
        <w:rPr>
          <w:rFonts w:ascii="Times New Roman" w:hAnsi="Times New Roman" w:cs="Times New Roman"/>
          <w:b/>
          <w:bCs/>
          <w:sz w:val="24"/>
          <w:szCs w:val="24"/>
        </w:rPr>
        <w:t>years, the perpetuity is expected to be replaced by a new instrument that pays a fixed</w:t>
      </w:r>
      <w:r w:rsidR="003F524F" w:rsidRPr="002B4809">
        <w:rPr>
          <w:rFonts w:ascii="Times New Roman" w:hAnsi="Times New Roman" w:cs="Times New Roman"/>
          <w:b/>
          <w:bCs/>
          <w:sz w:val="24"/>
          <w:szCs w:val="24"/>
        </w:rPr>
        <w:t xml:space="preserve"> </w:t>
      </w:r>
      <w:r w:rsidRPr="002B4809">
        <w:rPr>
          <w:rFonts w:ascii="Times New Roman" w:hAnsi="Times New Roman" w:cs="Times New Roman"/>
          <w:b/>
          <w:bCs/>
          <w:sz w:val="24"/>
          <w:szCs w:val="24"/>
        </w:rPr>
        <w:t>Rs.60,000 per year in perpetuity, discounted at 8%. Calculate the present value of this</w:t>
      </w:r>
      <w:r w:rsidR="003F524F" w:rsidRPr="002B4809">
        <w:rPr>
          <w:rFonts w:ascii="Times New Roman" w:hAnsi="Times New Roman" w:cs="Times New Roman"/>
          <w:b/>
          <w:bCs/>
          <w:sz w:val="24"/>
          <w:szCs w:val="24"/>
        </w:rPr>
        <w:t xml:space="preserve"> </w:t>
      </w:r>
      <w:r w:rsidRPr="002B4809">
        <w:rPr>
          <w:rFonts w:ascii="Times New Roman" w:hAnsi="Times New Roman" w:cs="Times New Roman"/>
          <w:b/>
          <w:bCs/>
          <w:sz w:val="24"/>
          <w:szCs w:val="24"/>
        </w:rPr>
        <w:t>entire cash flow stream as of today, considering the change in payment structure and</w:t>
      </w:r>
      <w:r w:rsidR="003F524F" w:rsidRPr="002B4809">
        <w:rPr>
          <w:rFonts w:ascii="Times New Roman" w:hAnsi="Times New Roman" w:cs="Times New Roman"/>
          <w:b/>
          <w:bCs/>
          <w:sz w:val="24"/>
          <w:szCs w:val="24"/>
        </w:rPr>
        <w:t xml:space="preserve"> </w:t>
      </w:r>
      <w:r w:rsidRPr="002B4809">
        <w:rPr>
          <w:rFonts w:ascii="Times New Roman" w:hAnsi="Times New Roman" w:cs="Times New Roman"/>
          <w:b/>
          <w:bCs/>
          <w:sz w:val="24"/>
          <w:szCs w:val="24"/>
        </w:rPr>
        <w:t>discount rates after year 15.</w:t>
      </w:r>
    </w:p>
    <w:p w14:paraId="63A56832" w14:textId="42B37F3D" w:rsidR="00260180" w:rsidRPr="002B4809" w:rsidRDefault="00260180" w:rsidP="00D1759E">
      <w:pPr>
        <w:spacing w:line="360" w:lineRule="auto"/>
        <w:jc w:val="both"/>
        <w:rPr>
          <w:rFonts w:ascii="Times New Roman" w:hAnsi="Times New Roman" w:cs="Times New Roman"/>
          <w:b/>
          <w:bCs/>
          <w:sz w:val="24"/>
          <w:szCs w:val="24"/>
        </w:rPr>
      </w:pPr>
      <w:r w:rsidRPr="002B4809">
        <w:rPr>
          <w:rFonts w:ascii="Times New Roman" w:hAnsi="Times New Roman" w:cs="Times New Roman"/>
          <w:b/>
          <w:bCs/>
          <w:sz w:val="24"/>
          <w:szCs w:val="24"/>
        </w:rPr>
        <w:t>Answer:</w:t>
      </w:r>
    </w:p>
    <w:p w14:paraId="0482C33B" w14:textId="12241CC6" w:rsidR="00144B95" w:rsidRPr="00370A9F" w:rsidRDefault="00144B95" w:rsidP="00D1759E">
      <w:pPr>
        <w:spacing w:line="360" w:lineRule="auto"/>
        <w:jc w:val="both"/>
        <w:rPr>
          <w:rFonts w:ascii="Times New Roman" w:hAnsi="Times New Roman" w:cs="Times New Roman"/>
          <w:b/>
          <w:bCs/>
          <w:sz w:val="24"/>
          <w:szCs w:val="24"/>
        </w:rPr>
      </w:pPr>
      <w:r w:rsidRPr="00370A9F">
        <w:rPr>
          <w:rFonts w:ascii="Times New Roman" w:hAnsi="Times New Roman" w:cs="Times New Roman"/>
          <w:b/>
          <w:bCs/>
          <w:sz w:val="24"/>
          <w:szCs w:val="24"/>
          <w:u w:val="single"/>
        </w:rPr>
        <w:t>Introduction</w:t>
      </w:r>
      <w:r w:rsidR="00370A9F" w:rsidRPr="00370A9F">
        <w:rPr>
          <w:rFonts w:ascii="Times New Roman" w:hAnsi="Times New Roman" w:cs="Times New Roman"/>
          <w:b/>
          <w:bCs/>
          <w:sz w:val="24"/>
          <w:szCs w:val="24"/>
        </w:rPr>
        <w:t>:</w:t>
      </w:r>
    </w:p>
    <w:p w14:paraId="6CFD6B38" w14:textId="77777777" w:rsidR="004D05FC" w:rsidRDefault="00144B95" w:rsidP="00D1759E">
      <w:pPr>
        <w:spacing w:line="360" w:lineRule="auto"/>
        <w:jc w:val="both"/>
        <w:rPr>
          <w:rFonts w:ascii="Times New Roman" w:hAnsi="Times New Roman" w:cs="Times New Roman"/>
          <w:sz w:val="24"/>
          <w:szCs w:val="24"/>
        </w:rPr>
      </w:pPr>
      <w:r w:rsidRPr="00144B95">
        <w:rPr>
          <w:rFonts w:ascii="Times New Roman" w:hAnsi="Times New Roman" w:cs="Times New Roman"/>
          <w:sz w:val="24"/>
          <w:szCs w:val="24"/>
        </w:rPr>
        <w:t>The valuation of cash flows is a critical concept in finance, especially when dealing with perpetuities and inflation-adjusted payments. In this problem, we are asked to determine the present value (PV) of a cash flow stream that initially grows with inflation and later changes into a new perpetuity with a different fixed payment and discount rate. Understanding this requires applying the formulas for a growing perpetuity, discounting future cash flows, and adjusting for changes in discount rates over time. Accurately calculating this PV helps investors assess the current worth of expected future payments and make informed financial decisions.</w:t>
      </w:r>
    </w:p>
    <w:p w14:paraId="1BBA8602" w14:textId="77777777" w:rsidR="004D05FC" w:rsidRDefault="004D05FC" w:rsidP="00D1759E">
      <w:pPr>
        <w:spacing w:line="360" w:lineRule="auto"/>
        <w:jc w:val="both"/>
        <w:rPr>
          <w:rFonts w:ascii="Times New Roman" w:hAnsi="Times New Roman" w:cs="Times New Roman"/>
          <w:sz w:val="24"/>
          <w:szCs w:val="24"/>
        </w:rPr>
      </w:pPr>
    </w:p>
    <w:p w14:paraId="7041154D" w14:textId="51072F9D" w:rsidR="002B5A6B" w:rsidRPr="004D05FC" w:rsidRDefault="00B8284B" w:rsidP="00D1759E">
      <w:pPr>
        <w:spacing w:line="360" w:lineRule="auto"/>
        <w:jc w:val="both"/>
        <w:rPr>
          <w:rFonts w:ascii="Times New Roman" w:hAnsi="Times New Roman" w:cs="Times New Roman"/>
          <w:sz w:val="24"/>
          <w:szCs w:val="24"/>
        </w:rPr>
      </w:pPr>
      <w:r w:rsidRPr="00023846">
        <w:rPr>
          <w:rFonts w:ascii="Times New Roman" w:hAnsi="Times New Roman" w:cs="Times New Roman"/>
          <w:b/>
          <w:bCs/>
          <w:sz w:val="24"/>
          <w:szCs w:val="24"/>
        </w:rPr>
        <w:t>Q2 (B) A company issues Rs.50,00,000 in 8% redeemable preference shares at a 5%</w:t>
      </w:r>
      <w:r w:rsidR="003F524F" w:rsidRPr="00023846">
        <w:rPr>
          <w:rFonts w:ascii="Times New Roman" w:hAnsi="Times New Roman" w:cs="Times New Roman"/>
          <w:b/>
          <w:bCs/>
          <w:sz w:val="24"/>
          <w:szCs w:val="24"/>
        </w:rPr>
        <w:t xml:space="preserve"> </w:t>
      </w:r>
      <w:r w:rsidRPr="00023846">
        <w:rPr>
          <w:rFonts w:ascii="Times New Roman" w:hAnsi="Times New Roman" w:cs="Times New Roman"/>
          <w:b/>
          <w:bCs/>
          <w:sz w:val="24"/>
          <w:szCs w:val="24"/>
        </w:rPr>
        <w:t>premium, redeemable at par after 6 years. Annual dividend is paid on face value. The</w:t>
      </w:r>
      <w:r w:rsidR="003F524F" w:rsidRPr="00023846">
        <w:rPr>
          <w:rFonts w:ascii="Times New Roman" w:hAnsi="Times New Roman" w:cs="Times New Roman"/>
          <w:b/>
          <w:bCs/>
          <w:sz w:val="24"/>
          <w:szCs w:val="24"/>
        </w:rPr>
        <w:t xml:space="preserve"> </w:t>
      </w:r>
      <w:r w:rsidRPr="00023846">
        <w:rPr>
          <w:rFonts w:ascii="Times New Roman" w:hAnsi="Times New Roman" w:cs="Times New Roman"/>
          <w:b/>
          <w:bCs/>
          <w:sz w:val="24"/>
          <w:szCs w:val="24"/>
        </w:rPr>
        <w:t>issue expenses are 2% of the face value. Calculate the cost of preference shares,</w:t>
      </w:r>
      <w:r w:rsidR="003F524F" w:rsidRPr="00023846">
        <w:rPr>
          <w:rFonts w:ascii="Times New Roman" w:hAnsi="Times New Roman" w:cs="Times New Roman"/>
          <w:b/>
          <w:bCs/>
          <w:sz w:val="24"/>
          <w:szCs w:val="24"/>
        </w:rPr>
        <w:t xml:space="preserve"> </w:t>
      </w:r>
      <w:r w:rsidRPr="00023846">
        <w:rPr>
          <w:rFonts w:ascii="Times New Roman" w:hAnsi="Times New Roman" w:cs="Times New Roman"/>
          <w:b/>
          <w:bCs/>
          <w:sz w:val="24"/>
          <w:szCs w:val="24"/>
        </w:rPr>
        <w:t>considering the effect of issue expenses and premium, and interpret how this cost</w:t>
      </w:r>
      <w:r w:rsidR="003F524F" w:rsidRPr="00023846">
        <w:rPr>
          <w:rFonts w:ascii="Times New Roman" w:hAnsi="Times New Roman" w:cs="Times New Roman"/>
          <w:b/>
          <w:bCs/>
          <w:sz w:val="24"/>
          <w:szCs w:val="24"/>
        </w:rPr>
        <w:t xml:space="preserve"> </w:t>
      </w:r>
      <w:r w:rsidRPr="00023846">
        <w:rPr>
          <w:rFonts w:ascii="Times New Roman" w:hAnsi="Times New Roman" w:cs="Times New Roman"/>
          <w:b/>
          <w:bCs/>
          <w:sz w:val="24"/>
          <w:szCs w:val="24"/>
        </w:rPr>
        <w:t>would impact the company’s overall cost of capital if preference shares constitute</w:t>
      </w:r>
      <w:r w:rsidR="003F524F" w:rsidRPr="00023846">
        <w:rPr>
          <w:rFonts w:ascii="Times New Roman" w:hAnsi="Times New Roman" w:cs="Times New Roman"/>
          <w:b/>
          <w:bCs/>
          <w:sz w:val="24"/>
          <w:szCs w:val="24"/>
        </w:rPr>
        <w:t xml:space="preserve"> </w:t>
      </w:r>
      <w:r w:rsidRPr="00023846">
        <w:rPr>
          <w:rFonts w:ascii="Times New Roman" w:hAnsi="Times New Roman" w:cs="Times New Roman"/>
          <w:b/>
          <w:bCs/>
          <w:sz w:val="24"/>
          <w:szCs w:val="24"/>
        </w:rPr>
        <w:t>20% of the capital structure. Show all intermediate steps.</w:t>
      </w:r>
    </w:p>
    <w:p w14:paraId="28784527" w14:textId="6ED60FEA" w:rsidR="0021404E" w:rsidRPr="00023846" w:rsidRDefault="0021404E" w:rsidP="00D1759E">
      <w:pPr>
        <w:spacing w:line="360" w:lineRule="auto"/>
        <w:jc w:val="both"/>
        <w:rPr>
          <w:rFonts w:ascii="Times New Roman" w:hAnsi="Times New Roman" w:cs="Times New Roman"/>
          <w:b/>
          <w:bCs/>
          <w:sz w:val="24"/>
          <w:szCs w:val="24"/>
        </w:rPr>
      </w:pPr>
      <w:r w:rsidRPr="00023846">
        <w:rPr>
          <w:rFonts w:ascii="Times New Roman" w:hAnsi="Times New Roman" w:cs="Times New Roman"/>
          <w:b/>
          <w:bCs/>
          <w:sz w:val="24"/>
          <w:szCs w:val="24"/>
        </w:rPr>
        <w:lastRenderedPageBreak/>
        <w:t>Answer:</w:t>
      </w:r>
    </w:p>
    <w:p w14:paraId="12EF231B" w14:textId="7DD321A2" w:rsidR="00B577A7" w:rsidRPr="00FD3AFB" w:rsidRDefault="00B577A7" w:rsidP="00D1759E">
      <w:pPr>
        <w:spacing w:line="360" w:lineRule="auto"/>
        <w:jc w:val="both"/>
        <w:rPr>
          <w:rFonts w:ascii="Times New Roman" w:hAnsi="Times New Roman" w:cs="Times New Roman"/>
          <w:b/>
          <w:bCs/>
          <w:sz w:val="24"/>
          <w:szCs w:val="24"/>
        </w:rPr>
      </w:pPr>
      <w:r w:rsidRPr="00FD3AFB">
        <w:rPr>
          <w:rFonts w:ascii="Times New Roman" w:hAnsi="Times New Roman" w:cs="Times New Roman"/>
          <w:b/>
          <w:bCs/>
          <w:sz w:val="24"/>
          <w:szCs w:val="24"/>
          <w:u w:val="single"/>
        </w:rPr>
        <w:t>Introduction</w:t>
      </w:r>
      <w:r w:rsidR="00FD3AFB" w:rsidRPr="00FD3AFB">
        <w:rPr>
          <w:rFonts w:ascii="Times New Roman" w:hAnsi="Times New Roman" w:cs="Times New Roman"/>
          <w:b/>
          <w:bCs/>
          <w:sz w:val="24"/>
          <w:szCs w:val="24"/>
        </w:rPr>
        <w:t>:</w:t>
      </w:r>
    </w:p>
    <w:p w14:paraId="5AEBA354" w14:textId="6E4BBAD8" w:rsidR="0021404E" w:rsidRPr="00B8284B" w:rsidRDefault="00B577A7" w:rsidP="00D1759E">
      <w:pPr>
        <w:spacing w:line="360" w:lineRule="auto"/>
        <w:jc w:val="both"/>
        <w:rPr>
          <w:rFonts w:ascii="Times New Roman" w:hAnsi="Times New Roman" w:cs="Times New Roman"/>
          <w:sz w:val="24"/>
          <w:szCs w:val="24"/>
        </w:rPr>
      </w:pPr>
      <w:r w:rsidRPr="00B577A7">
        <w:rPr>
          <w:rFonts w:ascii="Times New Roman" w:hAnsi="Times New Roman" w:cs="Times New Roman"/>
          <w:sz w:val="24"/>
          <w:szCs w:val="24"/>
        </w:rPr>
        <w:t>Preference shares are a type of hybrid financing instrument that carries characteristics of both equity and debt. They provide a fixed dividend to shareholders before any dividend is paid to equity shareholders. When a company issues redeemable preference shares, it promises to pay the nominal value at the time of redemption. The cost of preference shares represents the effective rate of return required by investors and is an important component of a company’s overall cost of capital. Calculating the cost of preference shares accurately is critical because it affects investment decisions, financing strategy, and ultimately the weighted average cost of capital (WACC) for the firm.</w:t>
      </w:r>
    </w:p>
    <w:sectPr w:rsidR="0021404E" w:rsidRPr="00B8284B" w:rsidSect="00456C0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3BD"/>
    <w:multiLevelType w:val="hybridMultilevel"/>
    <w:tmpl w:val="3E68A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0270B0"/>
    <w:multiLevelType w:val="hybridMultilevel"/>
    <w:tmpl w:val="B734B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0F385A"/>
    <w:multiLevelType w:val="hybridMultilevel"/>
    <w:tmpl w:val="3572D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F25FFB"/>
    <w:multiLevelType w:val="hybridMultilevel"/>
    <w:tmpl w:val="D154F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020C7E"/>
    <w:multiLevelType w:val="hybridMultilevel"/>
    <w:tmpl w:val="F72ABB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9963945">
    <w:abstractNumId w:val="3"/>
  </w:num>
  <w:num w:numId="2" w16cid:durableId="993602519">
    <w:abstractNumId w:val="2"/>
  </w:num>
  <w:num w:numId="3" w16cid:durableId="1650555296">
    <w:abstractNumId w:val="4"/>
  </w:num>
  <w:num w:numId="4" w16cid:durableId="685597849">
    <w:abstractNumId w:val="0"/>
  </w:num>
  <w:num w:numId="5" w16cid:durableId="37566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4B"/>
    <w:rsid w:val="00023846"/>
    <w:rsid w:val="0005549D"/>
    <w:rsid w:val="00075382"/>
    <w:rsid w:val="000E6F71"/>
    <w:rsid w:val="00101956"/>
    <w:rsid w:val="00111605"/>
    <w:rsid w:val="00143C06"/>
    <w:rsid w:val="00144B95"/>
    <w:rsid w:val="001708F8"/>
    <w:rsid w:val="00171F07"/>
    <w:rsid w:val="001F6B1A"/>
    <w:rsid w:val="0021404E"/>
    <w:rsid w:val="002408F1"/>
    <w:rsid w:val="00260180"/>
    <w:rsid w:val="00261E90"/>
    <w:rsid w:val="00270358"/>
    <w:rsid w:val="002B4809"/>
    <w:rsid w:val="002B5A6B"/>
    <w:rsid w:val="00311A9A"/>
    <w:rsid w:val="003165A5"/>
    <w:rsid w:val="00327081"/>
    <w:rsid w:val="00336EA4"/>
    <w:rsid w:val="0036727C"/>
    <w:rsid w:val="00370A9F"/>
    <w:rsid w:val="003B59D5"/>
    <w:rsid w:val="003C1592"/>
    <w:rsid w:val="003F524F"/>
    <w:rsid w:val="00413768"/>
    <w:rsid w:val="00434769"/>
    <w:rsid w:val="004534E2"/>
    <w:rsid w:val="00456C04"/>
    <w:rsid w:val="004A296C"/>
    <w:rsid w:val="004A7167"/>
    <w:rsid w:val="004C5345"/>
    <w:rsid w:val="004D05FC"/>
    <w:rsid w:val="00533E2B"/>
    <w:rsid w:val="00583497"/>
    <w:rsid w:val="0062709B"/>
    <w:rsid w:val="0068337D"/>
    <w:rsid w:val="00683E5F"/>
    <w:rsid w:val="006F01BC"/>
    <w:rsid w:val="00701F98"/>
    <w:rsid w:val="00747C13"/>
    <w:rsid w:val="007671BB"/>
    <w:rsid w:val="00804F0A"/>
    <w:rsid w:val="0084217A"/>
    <w:rsid w:val="008A052E"/>
    <w:rsid w:val="008A3539"/>
    <w:rsid w:val="008A4EAB"/>
    <w:rsid w:val="008D1260"/>
    <w:rsid w:val="008D4BCC"/>
    <w:rsid w:val="00907CC8"/>
    <w:rsid w:val="009B4CE6"/>
    <w:rsid w:val="009B4D78"/>
    <w:rsid w:val="009D20F8"/>
    <w:rsid w:val="009D21C5"/>
    <w:rsid w:val="009D3D5F"/>
    <w:rsid w:val="00A1242A"/>
    <w:rsid w:val="00A34813"/>
    <w:rsid w:val="00A43D5F"/>
    <w:rsid w:val="00A86E07"/>
    <w:rsid w:val="00B00AE5"/>
    <w:rsid w:val="00B04F0E"/>
    <w:rsid w:val="00B071E9"/>
    <w:rsid w:val="00B072C9"/>
    <w:rsid w:val="00B23804"/>
    <w:rsid w:val="00B32C6E"/>
    <w:rsid w:val="00B577A7"/>
    <w:rsid w:val="00B76D2D"/>
    <w:rsid w:val="00B8284B"/>
    <w:rsid w:val="00B93BDF"/>
    <w:rsid w:val="00BC0E21"/>
    <w:rsid w:val="00BC5F4C"/>
    <w:rsid w:val="00BE6F6D"/>
    <w:rsid w:val="00C00673"/>
    <w:rsid w:val="00C371E8"/>
    <w:rsid w:val="00C406FF"/>
    <w:rsid w:val="00C60BCB"/>
    <w:rsid w:val="00C75939"/>
    <w:rsid w:val="00C82637"/>
    <w:rsid w:val="00CD736E"/>
    <w:rsid w:val="00D0407A"/>
    <w:rsid w:val="00D1759E"/>
    <w:rsid w:val="00DA37B9"/>
    <w:rsid w:val="00E135AD"/>
    <w:rsid w:val="00E57BC4"/>
    <w:rsid w:val="00E739D4"/>
    <w:rsid w:val="00E9537C"/>
    <w:rsid w:val="00EE2CBF"/>
    <w:rsid w:val="00F82190"/>
    <w:rsid w:val="00F93071"/>
    <w:rsid w:val="00FA6EE5"/>
    <w:rsid w:val="00FD3359"/>
    <w:rsid w:val="00FD3AFB"/>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ED04"/>
  <w15:chartTrackingRefBased/>
  <w15:docId w15:val="{6C066953-DB8A-43A5-BE69-732D57A4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8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8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8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8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8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8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8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4B"/>
    <w:rPr>
      <w:rFonts w:eastAsiaTheme="majorEastAsia" w:cstheme="majorBidi"/>
      <w:color w:val="272727" w:themeColor="text1" w:themeTint="D8"/>
    </w:rPr>
  </w:style>
  <w:style w:type="paragraph" w:styleId="Title">
    <w:name w:val="Title"/>
    <w:basedOn w:val="Normal"/>
    <w:next w:val="Normal"/>
    <w:link w:val="TitleChar"/>
    <w:uiPriority w:val="10"/>
    <w:qFormat/>
    <w:rsid w:val="00B82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4B"/>
    <w:pPr>
      <w:spacing w:before="160"/>
      <w:jc w:val="center"/>
    </w:pPr>
    <w:rPr>
      <w:i/>
      <w:iCs/>
      <w:color w:val="404040" w:themeColor="text1" w:themeTint="BF"/>
    </w:rPr>
  </w:style>
  <w:style w:type="character" w:customStyle="1" w:styleId="QuoteChar">
    <w:name w:val="Quote Char"/>
    <w:basedOn w:val="DefaultParagraphFont"/>
    <w:link w:val="Quote"/>
    <w:uiPriority w:val="29"/>
    <w:rsid w:val="00B8284B"/>
    <w:rPr>
      <w:i/>
      <w:iCs/>
      <w:color w:val="404040" w:themeColor="text1" w:themeTint="BF"/>
    </w:rPr>
  </w:style>
  <w:style w:type="paragraph" w:styleId="ListParagraph">
    <w:name w:val="List Paragraph"/>
    <w:basedOn w:val="Normal"/>
    <w:uiPriority w:val="34"/>
    <w:qFormat/>
    <w:rsid w:val="00B8284B"/>
    <w:pPr>
      <w:ind w:left="720"/>
      <w:contextualSpacing/>
    </w:pPr>
  </w:style>
  <w:style w:type="character" w:styleId="IntenseEmphasis">
    <w:name w:val="Intense Emphasis"/>
    <w:basedOn w:val="DefaultParagraphFont"/>
    <w:uiPriority w:val="21"/>
    <w:qFormat/>
    <w:rsid w:val="00B8284B"/>
    <w:rPr>
      <w:i/>
      <w:iCs/>
      <w:color w:val="2F5496" w:themeColor="accent1" w:themeShade="BF"/>
    </w:rPr>
  </w:style>
  <w:style w:type="paragraph" w:styleId="IntenseQuote">
    <w:name w:val="Intense Quote"/>
    <w:basedOn w:val="Normal"/>
    <w:next w:val="Normal"/>
    <w:link w:val="IntenseQuoteChar"/>
    <w:uiPriority w:val="30"/>
    <w:qFormat/>
    <w:rsid w:val="00B8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84B"/>
    <w:rPr>
      <w:i/>
      <w:iCs/>
      <w:color w:val="2F5496" w:themeColor="accent1" w:themeShade="BF"/>
    </w:rPr>
  </w:style>
  <w:style w:type="character" w:styleId="IntenseReference">
    <w:name w:val="Intense Reference"/>
    <w:basedOn w:val="DefaultParagraphFont"/>
    <w:uiPriority w:val="32"/>
    <w:qFormat/>
    <w:rsid w:val="00B8284B"/>
    <w:rPr>
      <w:b/>
      <w:bCs/>
      <w:smallCaps/>
      <w:color w:val="2F5496" w:themeColor="accent1" w:themeShade="BF"/>
      <w:spacing w:val="5"/>
    </w:rPr>
  </w:style>
  <w:style w:type="character" w:styleId="PlaceholderText">
    <w:name w:val="Placeholder Text"/>
    <w:basedOn w:val="DefaultParagraphFont"/>
    <w:uiPriority w:val="99"/>
    <w:semiHidden/>
    <w:rsid w:val="009D3D5F"/>
    <w:rPr>
      <w:color w:val="666666"/>
    </w:rPr>
  </w:style>
  <w:style w:type="table" w:styleId="TableGrid">
    <w:name w:val="Table Grid"/>
    <w:basedOn w:val="TableNormal"/>
    <w:uiPriority w:val="39"/>
    <w:rsid w:val="004A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58</cp:revision>
  <dcterms:created xsi:type="dcterms:W3CDTF">2025-09-20T11:12:00Z</dcterms:created>
  <dcterms:modified xsi:type="dcterms:W3CDTF">2025-09-22T15:37:00Z</dcterms:modified>
</cp:coreProperties>
</file>