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E74B" w14:textId="77777777" w:rsidR="00FE4215" w:rsidRPr="00FE4215" w:rsidRDefault="00FE4215" w:rsidP="009F3E25">
      <w:pPr>
        <w:spacing w:line="360" w:lineRule="auto"/>
        <w:jc w:val="center"/>
        <w:rPr>
          <w:rFonts w:ascii="Times New Roman" w:hAnsi="Times New Roman" w:cs="Times New Roman"/>
          <w:b/>
          <w:bCs/>
          <w:sz w:val="24"/>
          <w:szCs w:val="24"/>
          <w:u w:val="single"/>
        </w:rPr>
      </w:pPr>
      <w:r w:rsidRPr="00FE4215">
        <w:rPr>
          <w:rFonts w:ascii="Times New Roman" w:hAnsi="Times New Roman" w:cs="Times New Roman"/>
          <w:b/>
          <w:bCs/>
          <w:sz w:val="24"/>
          <w:szCs w:val="24"/>
          <w:u w:val="single"/>
        </w:rPr>
        <w:t>Financial Accounting</w:t>
      </w:r>
    </w:p>
    <w:p w14:paraId="0511ADF4" w14:textId="77777777" w:rsidR="00000C8B" w:rsidRPr="004946FA" w:rsidRDefault="00FE4215" w:rsidP="009F3E25">
      <w:pPr>
        <w:spacing w:line="360" w:lineRule="auto"/>
        <w:jc w:val="both"/>
        <w:rPr>
          <w:rFonts w:ascii="Times New Roman" w:hAnsi="Times New Roman" w:cs="Times New Roman"/>
          <w:b/>
          <w:bCs/>
          <w:sz w:val="24"/>
          <w:szCs w:val="24"/>
        </w:rPr>
      </w:pPr>
      <w:r w:rsidRPr="004946FA">
        <w:rPr>
          <w:rFonts w:ascii="Times New Roman" w:hAnsi="Times New Roman" w:cs="Times New Roman"/>
          <w:b/>
          <w:bCs/>
          <w:sz w:val="24"/>
          <w:szCs w:val="24"/>
        </w:rPr>
        <w:t>Q</w:t>
      </w:r>
      <w:r w:rsidR="00000C8B" w:rsidRPr="004946FA">
        <w:rPr>
          <w:rFonts w:ascii="Times New Roman" w:hAnsi="Times New Roman" w:cs="Times New Roman"/>
          <w:b/>
          <w:bCs/>
          <w:sz w:val="24"/>
          <w:szCs w:val="24"/>
        </w:rPr>
        <w:t>.</w:t>
      </w:r>
      <w:r w:rsidRPr="004946FA">
        <w:rPr>
          <w:rFonts w:ascii="Times New Roman" w:hAnsi="Times New Roman" w:cs="Times New Roman"/>
          <w:b/>
          <w:bCs/>
          <w:sz w:val="24"/>
          <w:szCs w:val="24"/>
        </w:rPr>
        <w:t>1</w:t>
      </w:r>
      <w:r w:rsidR="00000C8B" w:rsidRPr="004946FA">
        <w:rPr>
          <w:rFonts w:ascii="Times New Roman" w:hAnsi="Times New Roman" w:cs="Times New Roman"/>
          <w:b/>
          <w:bCs/>
          <w:sz w:val="24"/>
          <w:szCs w:val="24"/>
        </w:rPr>
        <w:t>:</w:t>
      </w:r>
      <w:r w:rsidRPr="004946FA">
        <w:rPr>
          <w:rFonts w:ascii="Times New Roman" w:hAnsi="Times New Roman" w:cs="Times New Roman"/>
          <w:b/>
          <w:bCs/>
          <w:sz w:val="24"/>
          <w:szCs w:val="24"/>
        </w:rPr>
        <w:t xml:space="preserve"> A national retail chain is experiencing rapid growth, opening 50 new stores in a single financial year and launching several promotional campaigns that offer deferred payment options to customers. The finance team is struggling to determine the correct timing for recognizing revenue from sales made under these promotions and matching related expenses, as cash inflows and outflows do not always align with the delivery of goods and services. The CFO is concerned that improper application of accounting principles could distort the company’s reported profitability and mislead stakeholders. Based on the scenario, how should the finance team at a rapidly expanding retail chain apply the accrual and realisation concepts to ensure accurate revenue and expense recognition during a period of aggressive store openings and promotional campaigns?</w:t>
      </w:r>
    </w:p>
    <w:p w14:paraId="3D548D6C" w14:textId="49AFAC23" w:rsidR="000C6FB0" w:rsidRPr="004946FA" w:rsidRDefault="000C6FB0" w:rsidP="009F3E25">
      <w:pPr>
        <w:spacing w:line="360" w:lineRule="auto"/>
        <w:jc w:val="both"/>
        <w:rPr>
          <w:rFonts w:ascii="Times New Roman" w:hAnsi="Times New Roman" w:cs="Times New Roman"/>
          <w:b/>
          <w:bCs/>
          <w:sz w:val="24"/>
          <w:szCs w:val="24"/>
        </w:rPr>
      </w:pPr>
      <w:r w:rsidRPr="004946FA">
        <w:rPr>
          <w:rFonts w:ascii="Times New Roman" w:hAnsi="Times New Roman" w:cs="Times New Roman"/>
          <w:b/>
          <w:bCs/>
          <w:sz w:val="24"/>
          <w:szCs w:val="24"/>
        </w:rPr>
        <w:t>Answer:</w:t>
      </w:r>
    </w:p>
    <w:p w14:paraId="47FA37FA" w14:textId="672C701E" w:rsidR="00B8629E" w:rsidRPr="00B8629E" w:rsidRDefault="00B8629E" w:rsidP="009F3E25">
      <w:pPr>
        <w:spacing w:line="360" w:lineRule="auto"/>
        <w:jc w:val="both"/>
        <w:rPr>
          <w:rFonts w:ascii="Times New Roman" w:hAnsi="Times New Roman" w:cs="Times New Roman"/>
          <w:b/>
          <w:bCs/>
          <w:sz w:val="24"/>
          <w:szCs w:val="24"/>
        </w:rPr>
      </w:pPr>
      <w:r w:rsidRPr="00B8629E">
        <w:rPr>
          <w:rFonts w:ascii="Times New Roman" w:hAnsi="Times New Roman" w:cs="Times New Roman"/>
          <w:b/>
          <w:bCs/>
          <w:sz w:val="24"/>
          <w:szCs w:val="24"/>
          <w:u w:val="single"/>
        </w:rPr>
        <w:t>Introduction</w:t>
      </w:r>
      <w:r w:rsidRPr="00B8629E">
        <w:rPr>
          <w:rFonts w:ascii="Times New Roman" w:hAnsi="Times New Roman" w:cs="Times New Roman"/>
          <w:b/>
          <w:bCs/>
          <w:sz w:val="24"/>
          <w:szCs w:val="24"/>
        </w:rPr>
        <w:t>:</w:t>
      </w:r>
    </w:p>
    <w:p w14:paraId="65423FBE" w14:textId="73FA4DA3" w:rsidR="005B0CAE" w:rsidRDefault="00B8629E" w:rsidP="005B0CAE">
      <w:pPr>
        <w:spacing w:line="360" w:lineRule="auto"/>
        <w:jc w:val="both"/>
        <w:rPr>
          <w:rFonts w:ascii="Times New Roman" w:hAnsi="Times New Roman" w:cs="Times New Roman"/>
          <w:sz w:val="24"/>
          <w:szCs w:val="24"/>
        </w:rPr>
      </w:pPr>
      <w:r w:rsidRPr="00B8629E">
        <w:rPr>
          <w:rFonts w:ascii="Times New Roman" w:hAnsi="Times New Roman" w:cs="Times New Roman"/>
          <w:sz w:val="24"/>
          <w:szCs w:val="24"/>
        </w:rPr>
        <w:t>During periods of rapid expansion and aggressive promotional campaigns, retail chains often face complexities in financial reporting. The opening of multiple new stores and the introduction of deferred payment schemes create challenges in determining the appropriate timing for recognizing revenue and related expenses. Accurate financial reporting is essential not only for internal decision-making but also for maintaining the trust of investors, creditors, and other stakeholders. Misstating revenue can inflate or understate profitability, potentially misleading stakeholders and affecting strategic decisions such as investment, credit, or operational planning. The finance team plays a critical role in ensuring that accounting principles are consistently and correctly applied, even in fast-growing environments</w:t>
      </w:r>
      <w:r w:rsidR="005B0CAE">
        <w:rPr>
          <w:rFonts w:ascii="Times New Roman" w:hAnsi="Times New Roman" w:cs="Times New Roman"/>
          <w:sz w:val="24"/>
          <w:szCs w:val="24"/>
        </w:rPr>
        <w:t>.</w:t>
      </w:r>
    </w:p>
    <w:p w14:paraId="5176FD4F" w14:textId="77777777" w:rsidR="005B0CAE" w:rsidRDefault="005B0CAE" w:rsidP="005B0CAE">
      <w:pPr>
        <w:spacing w:line="360" w:lineRule="auto"/>
        <w:jc w:val="both"/>
        <w:rPr>
          <w:rFonts w:ascii="Times New Roman" w:hAnsi="Times New Roman" w:cs="Times New Roman"/>
          <w:sz w:val="24"/>
          <w:szCs w:val="24"/>
        </w:rPr>
      </w:pPr>
    </w:p>
    <w:p w14:paraId="755004A1" w14:textId="77777777" w:rsidR="00D848A7" w:rsidRPr="002D336D" w:rsidRDefault="00D848A7" w:rsidP="00D848A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9CE9957" w14:textId="77777777" w:rsidR="00D848A7" w:rsidRPr="002D336D" w:rsidRDefault="00D848A7" w:rsidP="00D848A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5DD5408" w14:textId="77777777" w:rsidR="00D848A7" w:rsidRPr="002D336D" w:rsidRDefault="00D848A7" w:rsidP="00D848A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6ED7DF0" w14:textId="77777777" w:rsidR="00D848A7" w:rsidRPr="002D336D" w:rsidRDefault="00D848A7" w:rsidP="00D848A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50054185" w14:textId="77777777" w:rsidR="00D848A7" w:rsidRPr="002D336D" w:rsidRDefault="00D848A7" w:rsidP="00D848A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74AF6348" w14:textId="77777777" w:rsidR="00D848A7" w:rsidRPr="002D336D" w:rsidRDefault="00D848A7" w:rsidP="00D848A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780A471" w14:textId="77777777" w:rsidR="00D848A7" w:rsidRPr="002D336D" w:rsidRDefault="00D848A7" w:rsidP="00D848A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6D312A16" w14:textId="77777777" w:rsidR="00D848A7" w:rsidRPr="002D336D" w:rsidRDefault="00D848A7" w:rsidP="00D848A7">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17D1D24" w14:textId="77777777" w:rsidR="005B0CAE" w:rsidRDefault="005B0CAE" w:rsidP="005B0CAE">
      <w:pPr>
        <w:spacing w:line="360" w:lineRule="auto"/>
        <w:jc w:val="both"/>
        <w:rPr>
          <w:rFonts w:ascii="Times New Roman" w:hAnsi="Times New Roman" w:cs="Times New Roman"/>
          <w:sz w:val="24"/>
          <w:szCs w:val="24"/>
        </w:rPr>
      </w:pPr>
    </w:p>
    <w:p w14:paraId="405D46D8" w14:textId="77777777" w:rsidR="00000C8B" w:rsidRPr="00966FBB" w:rsidRDefault="00FE4215" w:rsidP="009F3E25">
      <w:pPr>
        <w:spacing w:line="360" w:lineRule="auto"/>
        <w:jc w:val="both"/>
        <w:rPr>
          <w:rFonts w:ascii="Times New Roman" w:hAnsi="Times New Roman" w:cs="Times New Roman"/>
          <w:b/>
          <w:bCs/>
          <w:sz w:val="24"/>
          <w:szCs w:val="24"/>
        </w:rPr>
      </w:pPr>
      <w:r w:rsidRPr="00966FBB">
        <w:rPr>
          <w:rFonts w:ascii="Times New Roman" w:hAnsi="Times New Roman" w:cs="Times New Roman"/>
          <w:b/>
          <w:bCs/>
          <w:sz w:val="24"/>
          <w:szCs w:val="24"/>
        </w:rPr>
        <w:t>Q</w:t>
      </w:r>
      <w:r w:rsidR="00000C8B" w:rsidRPr="00966FBB">
        <w:rPr>
          <w:rFonts w:ascii="Times New Roman" w:hAnsi="Times New Roman" w:cs="Times New Roman"/>
          <w:b/>
          <w:bCs/>
          <w:sz w:val="24"/>
          <w:szCs w:val="24"/>
        </w:rPr>
        <w:t>.</w:t>
      </w:r>
      <w:r w:rsidRPr="00966FBB">
        <w:rPr>
          <w:rFonts w:ascii="Times New Roman" w:hAnsi="Times New Roman" w:cs="Times New Roman"/>
          <w:b/>
          <w:bCs/>
          <w:sz w:val="24"/>
          <w:szCs w:val="24"/>
        </w:rPr>
        <w:t>2 (A)</w:t>
      </w:r>
      <w:r w:rsidR="00000C8B" w:rsidRPr="00966FBB">
        <w:rPr>
          <w:rFonts w:ascii="Times New Roman" w:hAnsi="Times New Roman" w:cs="Times New Roman"/>
          <w:b/>
          <w:bCs/>
          <w:sz w:val="24"/>
          <w:szCs w:val="24"/>
        </w:rPr>
        <w:t>:</w:t>
      </w:r>
      <w:r w:rsidRPr="00966FBB">
        <w:rPr>
          <w:rFonts w:ascii="Times New Roman" w:hAnsi="Times New Roman" w:cs="Times New Roman"/>
          <w:b/>
          <w:bCs/>
          <w:sz w:val="24"/>
          <w:szCs w:val="24"/>
        </w:rPr>
        <w:t xml:space="preserve"> TechGen Inc., a leading technology company, recently undertook a comprehensive review of its accounting practices for the fiscal year ending December 31, 2023. The company meticulously followed each step of the accounting cycle, from recording transactions in subsidiary books to preparing financial statements, with the goal of improving transparency and regulatory compliance. However, the CFO is concerned about potential gaps in the process that could affect stakeholder trust and is seeking your critical assessment of their current approach. Critically evaluate TechGen Inc.'s approach to ensuring accuracy and transparency in its accounting cycle, particularly in the context of regulatory compliance and stakeholder trust. Considering the multiple stages from transaction recording to financial statement preparation, what improvements or alternative strategies could be justified to further enhance the reliability of its financial reporting?</w:t>
      </w:r>
    </w:p>
    <w:p w14:paraId="6AF174D1" w14:textId="5CB4DDE0" w:rsidR="00B8629E" w:rsidRPr="00966FBB" w:rsidRDefault="00B8629E" w:rsidP="009F3E25">
      <w:pPr>
        <w:spacing w:line="360" w:lineRule="auto"/>
        <w:jc w:val="both"/>
        <w:rPr>
          <w:rFonts w:ascii="Times New Roman" w:hAnsi="Times New Roman" w:cs="Times New Roman"/>
          <w:b/>
          <w:bCs/>
          <w:sz w:val="24"/>
          <w:szCs w:val="24"/>
        </w:rPr>
      </w:pPr>
      <w:r w:rsidRPr="00966FBB">
        <w:rPr>
          <w:rFonts w:ascii="Times New Roman" w:hAnsi="Times New Roman" w:cs="Times New Roman"/>
          <w:b/>
          <w:bCs/>
          <w:sz w:val="24"/>
          <w:szCs w:val="24"/>
        </w:rPr>
        <w:t>Answer:</w:t>
      </w:r>
    </w:p>
    <w:p w14:paraId="212F680A" w14:textId="61638B22" w:rsidR="00310D87" w:rsidRPr="001046AE" w:rsidRDefault="00310D87" w:rsidP="009F3E25">
      <w:pPr>
        <w:spacing w:line="360" w:lineRule="auto"/>
        <w:jc w:val="both"/>
        <w:rPr>
          <w:rFonts w:ascii="Times New Roman" w:hAnsi="Times New Roman" w:cs="Times New Roman"/>
          <w:b/>
          <w:bCs/>
          <w:sz w:val="24"/>
          <w:szCs w:val="24"/>
        </w:rPr>
      </w:pPr>
      <w:r w:rsidRPr="001046AE">
        <w:rPr>
          <w:rFonts w:ascii="Times New Roman" w:hAnsi="Times New Roman" w:cs="Times New Roman"/>
          <w:b/>
          <w:bCs/>
          <w:sz w:val="24"/>
          <w:szCs w:val="24"/>
          <w:u w:val="single"/>
        </w:rPr>
        <w:t>Introduction</w:t>
      </w:r>
      <w:r w:rsidR="001046AE" w:rsidRPr="001046AE">
        <w:rPr>
          <w:rFonts w:ascii="Times New Roman" w:hAnsi="Times New Roman" w:cs="Times New Roman"/>
          <w:b/>
          <w:bCs/>
          <w:sz w:val="24"/>
          <w:szCs w:val="24"/>
        </w:rPr>
        <w:t>:</w:t>
      </w:r>
    </w:p>
    <w:p w14:paraId="0F1A6BD9" w14:textId="77777777" w:rsidR="004E608E" w:rsidRDefault="00310D87" w:rsidP="009F3E25">
      <w:pPr>
        <w:spacing w:line="360" w:lineRule="auto"/>
        <w:jc w:val="both"/>
        <w:rPr>
          <w:rFonts w:ascii="Times New Roman" w:hAnsi="Times New Roman" w:cs="Times New Roman"/>
          <w:sz w:val="24"/>
          <w:szCs w:val="24"/>
        </w:rPr>
      </w:pPr>
      <w:r w:rsidRPr="00310D87">
        <w:rPr>
          <w:rFonts w:ascii="Times New Roman" w:hAnsi="Times New Roman" w:cs="Times New Roman"/>
          <w:sz w:val="24"/>
          <w:szCs w:val="24"/>
        </w:rPr>
        <w:t>TechGen Inc., a leading technology company, has conducted a detailed review of its accounting practices for the fiscal year ending December 31, 2023, ensuring adherence to the full accounting cycle</w:t>
      </w:r>
      <w:r w:rsidR="001046AE">
        <w:rPr>
          <w:rFonts w:ascii="Times New Roman" w:hAnsi="Times New Roman" w:cs="Times New Roman"/>
          <w:sz w:val="24"/>
          <w:szCs w:val="24"/>
        </w:rPr>
        <w:t xml:space="preserve"> </w:t>
      </w:r>
      <w:r w:rsidRPr="00310D87">
        <w:rPr>
          <w:rFonts w:ascii="Times New Roman" w:hAnsi="Times New Roman" w:cs="Times New Roman"/>
          <w:sz w:val="24"/>
          <w:szCs w:val="24"/>
        </w:rPr>
        <w:t>from recording transactions in subsidiary books to preparing financial statements. The company’s focus on transparency and regulatory compliance demonstrates a commitment to accuracy and reliability in financial reporting. However, the CFO’s concerns about potential gaps highlight the need for a critical evaluation of existing processes. Ensuring stakeholder trust requires not only following standard accounting procedures but also adopting enhancements that minimize errors, improve internal controls, and strengthen the credibility of financial statements.</w:t>
      </w:r>
    </w:p>
    <w:p w14:paraId="67F107AE" w14:textId="24814AAC" w:rsidR="0045506B" w:rsidRPr="004E608E" w:rsidRDefault="00FE4215" w:rsidP="009F3E25">
      <w:pPr>
        <w:spacing w:line="360" w:lineRule="auto"/>
        <w:jc w:val="both"/>
        <w:rPr>
          <w:rFonts w:ascii="Times New Roman" w:hAnsi="Times New Roman" w:cs="Times New Roman"/>
          <w:sz w:val="24"/>
          <w:szCs w:val="24"/>
        </w:rPr>
      </w:pPr>
      <w:r w:rsidRPr="006B15C3">
        <w:rPr>
          <w:rFonts w:ascii="Times New Roman" w:hAnsi="Times New Roman" w:cs="Times New Roman"/>
          <w:b/>
          <w:bCs/>
          <w:sz w:val="24"/>
          <w:szCs w:val="24"/>
        </w:rPr>
        <w:lastRenderedPageBreak/>
        <w:t>Q</w:t>
      </w:r>
      <w:r w:rsidR="00000C8B" w:rsidRPr="006B15C3">
        <w:rPr>
          <w:rFonts w:ascii="Times New Roman" w:hAnsi="Times New Roman" w:cs="Times New Roman"/>
          <w:b/>
          <w:bCs/>
          <w:sz w:val="24"/>
          <w:szCs w:val="24"/>
        </w:rPr>
        <w:t>.</w:t>
      </w:r>
      <w:r w:rsidRPr="006B15C3">
        <w:rPr>
          <w:rFonts w:ascii="Times New Roman" w:hAnsi="Times New Roman" w:cs="Times New Roman"/>
          <w:b/>
          <w:bCs/>
          <w:sz w:val="24"/>
          <w:szCs w:val="24"/>
        </w:rPr>
        <w:t>2</w:t>
      </w:r>
      <w:r w:rsidR="00000C8B"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(B)</w:t>
      </w:r>
      <w:r w:rsidR="00000C8B" w:rsidRPr="006B15C3">
        <w:rPr>
          <w:rFonts w:ascii="Times New Roman" w:hAnsi="Times New Roman" w:cs="Times New Roman"/>
          <w:b/>
          <w:bCs/>
          <w:sz w:val="24"/>
          <w:szCs w:val="24"/>
        </w:rPr>
        <w:t>:</w:t>
      </w:r>
      <w:r w:rsidRPr="006B15C3">
        <w:rPr>
          <w:rFonts w:ascii="Times New Roman" w:hAnsi="Times New Roman" w:cs="Times New Roman"/>
          <w:b/>
          <w:bCs/>
          <w:sz w:val="24"/>
          <w:szCs w:val="24"/>
        </w:rPr>
        <w:t xml:space="preserve"> From the following Trial Balance of Gupta &amp; Sons for the years ended December 31,</w:t>
      </w:r>
      <w:r w:rsidR="00033A2D"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2018, Prepare:</w:t>
      </w:r>
    </w:p>
    <w:p w14:paraId="2B9DA5B3" w14:textId="77777777" w:rsidR="0045506B"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 Trading Account</w:t>
      </w:r>
    </w:p>
    <w:p w14:paraId="329EED2D" w14:textId="77777777" w:rsidR="0045506B"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2. Profit &amp; Loss Account</w:t>
      </w:r>
    </w:p>
    <w:p w14:paraId="4C13B5C2" w14:textId="17FF279A" w:rsidR="00FE4215"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3. Balance Sheet as on that date</w:t>
      </w:r>
    </w:p>
    <w:tbl>
      <w:tblPr>
        <w:tblStyle w:val="TableGrid"/>
        <w:tblW w:w="0" w:type="auto"/>
        <w:tblLook w:val="04A0" w:firstRow="1" w:lastRow="0" w:firstColumn="1" w:lastColumn="0" w:noHBand="0" w:noVBand="1"/>
      </w:tblPr>
      <w:tblGrid>
        <w:gridCol w:w="3005"/>
        <w:gridCol w:w="3005"/>
        <w:gridCol w:w="3006"/>
      </w:tblGrid>
      <w:tr w:rsidR="00F207C5" w:rsidRPr="006B15C3" w14:paraId="640164DB" w14:textId="77777777">
        <w:tc>
          <w:tcPr>
            <w:tcW w:w="3005" w:type="dxa"/>
          </w:tcPr>
          <w:p w14:paraId="33E988AF"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Name of the Account</w:t>
            </w:r>
          </w:p>
        </w:tc>
        <w:tc>
          <w:tcPr>
            <w:tcW w:w="3005" w:type="dxa"/>
          </w:tcPr>
          <w:p w14:paraId="212D6C81" w14:textId="10C5E424"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Debit Balances (Rs.)</w:t>
            </w:r>
          </w:p>
        </w:tc>
        <w:tc>
          <w:tcPr>
            <w:tcW w:w="3006" w:type="dxa"/>
          </w:tcPr>
          <w:p w14:paraId="66A85CEA" w14:textId="41392D6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Credit Balances (Rs.)</w:t>
            </w:r>
          </w:p>
        </w:tc>
      </w:tr>
      <w:tr w:rsidR="00F207C5" w:rsidRPr="006B15C3" w14:paraId="42693E67" w14:textId="77777777">
        <w:tc>
          <w:tcPr>
            <w:tcW w:w="3005" w:type="dxa"/>
          </w:tcPr>
          <w:p w14:paraId="71947759"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Capital</w:t>
            </w:r>
          </w:p>
        </w:tc>
        <w:tc>
          <w:tcPr>
            <w:tcW w:w="3005" w:type="dxa"/>
          </w:tcPr>
          <w:p w14:paraId="67B37A14"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6B5F4F1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5,00,000</w:t>
            </w:r>
          </w:p>
        </w:tc>
      </w:tr>
      <w:tr w:rsidR="00F207C5" w:rsidRPr="006B15C3" w14:paraId="15CEC480" w14:textId="77777777">
        <w:tc>
          <w:tcPr>
            <w:tcW w:w="3005" w:type="dxa"/>
          </w:tcPr>
          <w:p w14:paraId="5A8BDFBD"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Sales</w:t>
            </w:r>
          </w:p>
        </w:tc>
        <w:tc>
          <w:tcPr>
            <w:tcW w:w="3005" w:type="dxa"/>
          </w:tcPr>
          <w:p w14:paraId="43134C32"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565F01A4"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10,00,000</w:t>
            </w:r>
          </w:p>
        </w:tc>
      </w:tr>
      <w:tr w:rsidR="00F207C5" w:rsidRPr="006B15C3" w14:paraId="20D626E8" w14:textId="77777777">
        <w:tc>
          <w:tcPr>
            <w:tcW w:w="3005" w:type="dxa"/>
          </w:tcPr>
          <w:p w14:paraId="385526C3"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Sales Returns</w:t>
            </w:r>
          </w:p>
        </w:tc>
        <w:tc>
          <w:tcPr>
            <w:tcW w:w="3005" w:type="dxa"/>
          </w:tcPr>
          <w:p w14:paraId="35BCCC86"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25,000</w:t>
            </w:r>
          </w:p>
        </w:tc>
        <w:tc>
          <w:tcPr>
            <w:tcW w:w="3006" w:type="dxa"/>
          </w:tcPr>
          <w:p w14:paraId="26FF07AC"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6F6A6FB0" w14:textId="77777777">
        <w:tc>
          <w:tcPr>
            <w:tcW w:w="3005" w:type="dxa"/>
          </w:tcPr>
          <w:p w14:paraId="529F4874"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Purchases</w:t>
            </w:r>
          </w:p>
        </w:tc>
        <w:tc>
          <w:tcPr>
            <w:tcW w:w="3005" w:type="dxa"/>
          </w:tcPr>
          <w:p w14:paraId="43AB707E"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5,00,000</w:t>
            </w:r>
          </w:p>
        </w:tc>
        <w:tc>
          <w:tcPr>
            <w:tcW w:w="3006" w:type="dxa"/>
          </w:tcPr>
          <w:p w14:paraId="23077043"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37027F71" w14:textId="77777777">
        <w:tc>
          <w:tcPr>
            <w:tcW w:w="3005" w:type="dxa"/>
          </w:tcPr>
          <w:p w14:paraId="614B995D"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Purchases Returns</w:t>
            </w:r>
          </w:p>
        </w:tc>
        <w:tc>
          <w:tcPr>
            <w:tcW w:w="3005" w:type="dxa"/>
          </w:tcPr>
          <w:p w14:paraId="2C476A51"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4AC65D9F"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15,000</w:t>
            </w:r>
          </w:p>
        </w:tc>
      </w:tr>
      <w:tr w:rsidR="00F207C5" w:rsidRPr="006B15C3" w14:paraId="25753DD7" w14:textId="77777777">
        <w:tc>
          <w:tcPr>
            <w:tcW w:w="3005" w:type="dxa"/>
          </w:tcPr>
          <w:p w14:paraId="75DFF45B"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Inventory as on 1.1.18</w:t>
            </w:r>
          </w:p>
        </w:tc>
        <w:tc>
          <w:tcPr>
            <w:tcW w:w="3005" w:type="dxa"/>
          </w:tcPr>
          <w:p w14:paraId="2BAE2CE3"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60,000</w:t>
            </w:r>
          </w:p>
        </w:tc>
        <w:tc>
          <w:tcPr>
            <w:tcW w:w="3006" w:type="dxa"/>
          </w:tcPr>
          <w:p w14:paraId="53FCD49C"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7F6B7A53" w14:textId="77777777">
        <w:tc>
          <w:tcPr>
            <w:tcW w:w="3005" w:type="dxa"/>
          </w:tcPr>
          <w:p w14:paraId="1DD21A6E"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Land &amp; Buildings</w:t>
            </w:r>
          </w:p>
        </w:tc>
        <w:tc>
          <w:tcPr>
            <w:tcW w:w="3005" w:type="dxa"/>
          </w:tcPr>
          <w:p w14:paraId="204C9FB7"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4,00,000</w:t>
            </w:r>
          </w:p>
        </w:tc>
        <w:tc>
          <w:tcPr>
            <w:tcW w:w="3006" w:type="dxa"/>
          </w:tcPr>
          <w:p w14:paraId="3697FA56"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512F286" w14:textId="77777777">
        <w:tc>
          <w:tcPr>
            <w:tcW w:w="3005" w:type="dxa"/>
          </w:tcPr>
          <w:p w14:paraId="5940AE1F"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Plant &amp; Machinery</w:t>
            </w:r>
          </w:p>
        </w:tc>
        <w:tc>
          <w:tcPr>
            <w:tcW w:w="3005" w:type="dxa"/>
          </w:tcPr>
          <w:p w14:paraId="2164D1B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3,00,000</w:t>
            </w:r>
          </w:p>
        </w:tc>
        <w:tc>
          <w:tcPr>
            <w:tcW w:w="3006" w:type="dxa"/>
          </w:tcPr>
          <w:p w14:paraId="33CE86B7"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394692CA" w14:textId="77777777">
        <w:tc>
          <w:tcPr>
            <w:tcW w:w="3005" w:type="dxa"/>
          </w:tcPr>
          <w:p w14:paraId="12EEC29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Furniture</w:t>
            </w:r>
          </w:p>
        </w:tc>
        <w:tc>
          <w:tcPr>
            <w:tcW w:w="3005" w:type="dxa"/>
          </w:tcPr>
          <w:p w14:paraId="6CAAFDE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1,00,000</w:t>
            </w:r>
          </w:p>
        </w:tc>
        <w:tc>
          <w:tcPr>
            <w:tcW w:w="3006" w:type="dxa"/>
          </w:tcPr>
          <w:p w14:paraId="76DA8C55"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4634610D" w14:textId="77777777">
        <w:tc>
          <w:tcPr>
            <w:tcW w:w="3005" w:type="dxa"/>
          </w:tcPr>
          <w:p w14:paraId="637A173D"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Wages</w:t>
            </w:r>
          </w:p>
        </w:tc>
        <w:tc>
          <w:tcPr>
            <w:tcW w:w="3005" w:type="dxa"/>
          </w:tcPr>
          <w:p w14:paraId="5DDA606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50,000</w:t>
            </w:r>
          </w:p>
        </w:tc>
        <w:tc>
          <w:tcPr>
            <w:tcW w:w="3006" w:type="dxa"/>
          </w:tcPr>
          <w:p w14:paraId="1DB1B9DF" w14:textId="1D2DDB83"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47C088A" w14:textId="77777777">
        <w:tc>
          <w:tcPr>
            <w:tcW w:w="3005" w:type="dxa"/>
          </w:tcPr>
          <w:p w14:paraId="627BFCAC"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Carriage Inwards</w:t>
            </w:r>
          </w:p>
        </w:tc>
        <w:tc>
          <w:tcPr>
            <w:tcW w:w="3005" w:type="dxa"/>
          </w:tcPr>
          <w:p w14:paraId="4999413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w:t>
            </w:r>
          </w:p>
        </w:tc>
        <w:tc>
          <w:tcPr>
            <w:tcW w:w="3006" w:type="dxa"/>
          </w:tcPr>
          <w:p w14:paraId="176839BF"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E8DF730" w14:textId="77777777">
        <w:tc>
          <w:tcPr>
            <w:tcW w:w="3005" w:type="dxa"/>
          </w:tcPr>
          <w:p w14:paraId="756059C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Provision for Bad Debts</w:t>
            </w:r>
          </w:p>
        </w:tc>
        <w:tc>
          <w:tcPr>
            <w:tcW w:w="3005" w:type="dxa"/>
          </w:tcPr>
          <w:p w14:paraId="0C619B6A"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1793DCE5"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7,000</w:t>
            </w:r>
          </w:p>
        </w:tc>
      </w:tr>
      <w:tr w:rsidR="00F207C5" w:rsidRPr="006B15C3" w14:paraId="6193C87B" w14:textId="77777777">
        <w:tc>
          <w:tcPr>
            <w:tcW w:w="3005" w:type="dxa"/>
          </w:tcPr>
          <w:p w14:paraId="4750B68B"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Carriage Outwards</w:t>
            </w:r>
          </w:p>
        </w:tc>
        <w:tc>
          <w:tcPr>
            <w:tcW w:w="3005" w:type="dxa"/>
          </w:tcPr>
          <w:p w14:paraId="7E77BE9F"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w:t>
            </w:r>
          </w:p>
        </w:tc>
        <w:tc>
          <w:tcPr>
            <w:tcW w:w="3006" w:type="dxa"/>
          </w:tcPr>
          <w:p w14:paraId="52D8C894"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708379F" w14:textId="77777777">
        <w:tc>
          <w:tcPr>
            <w:tcW w:w="3005" w:type="dxa"/>
          </w:tcPr>
          <w:p w14:paraId="7D7EF40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Cartage</w:t>
            </w:r>
          </w:p>
        </w:tc>
        <w:tc>
          <w:tcPr>
            <w:tcW w:w="3005" w:type="dxa"/>
          </w:tcPr>
          <w:p w14:paraId="0A653047"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w:t>
            </w:r>
          </w:p>
        </w:tc>
        <w:tc>
          <w:tcPr>
            <w:tcW w:w="3006" w:type="dxa"/>
          </w:tcPr>
          <w:p w14:paraId="66F9C505"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ADA44B1" w14:textId="77777777">
        <w:tc>
          <w:tcPr>
            <w:tcW w:w="3005" w:type="dxa"/>
          </w:tcPr>
          <w:p w14:paraId="314A8A55"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Salaries</w:t>
            </w:r>
          </w:p>
        </w:tc>
        <w:tc>
          <w:tcPr>
            <w:tcW w:w="3005" w:type="dxa"/>
          </w:tcPr>
          <w:p w14:paraId="13A9A1DE"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40,000</w:t>
            </w:r>
          </w:p>
        </w:tc>
        <w:tc>
          <w:tcPr>
            <w:tcW w:w="3006" w:type="dxa"/>
          </w:tcPr>
          <w:p w14:paraId="6DB383F5"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715AA31A" w14:textId="77777777">
        <w:tc>
          <w:tcPr>
            <w:tcW w:w="3005" w:type="dxa"/>
          </w:tcPr>
          <w:p w14:paraId="428A095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Loan</w:t>
            </w:r>
          </w:p>
        </w:tc>
        <w:tc>
          <w:tcPr>
            <w:tcW w:w="3005" w:type="dxa"/>
          </w:tcPr>
          <w:p w14:paraId="44958D5F"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385D60E2"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2,60,000</w:t>
            </w:r>
          </w:p>
        </w:tc>
      </w:tr>
      <w:tr w:rsidR="00F207C5" w:rsidRPr="006B15C3" w14:paraId="76F01578" w14:textId="77777777">
        <w:tc>
          <w:tcPr>
            <w:tcW w:w="3005" w:type="dxa"/>
          </w:tcPr>
          <w:p w14:paraId="3D3016F4"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Debtors</w:t>
            </w:r>
          </w:p>
        </w:tc>
        <w:tc>
          <w:tcPr>
            <w:tcW w:w="3005" w:type="dxa"/>
          </w:tcPr>
          <w:p w14:paraId="78ED67E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1,50,000</w:t>
            </w:r>
          </w:p>
        </w:tc>
        <w:tc>
          <w:tcPr>
            <w:tcW w:w="3006" w:type="dxa"/>
          </w:tcPr>
          <w:p w14:paraId="46B70964"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3CF88D6A" w14:textId="77777777">
        <w:tc>
          <w:tcPr>
            <w:tcW w:w="3005" w:type="dxa"/>
          </w:tcPr>
          <w:p w14:paraId="73749C1E"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Creditors</w:t>
            </w:r>
          </w:p>
        </w:tc>
        <w:tc>
          <w:tcPr>
            <w:tcW w:w="3005" w:type="dxa"/>
          </w:tcPr>
          <w:p w14:paraId="5B963118"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2BE64BD9"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70,000</w:t>
            </w:r>
          </w:p>
        </w:tc>
      </w:tr>
      <w:tr w:rsidR="00F207C5" w:rsidRPr="006B15C3" w14:paraId="7BE6AD0B" w14:textId="77777777">
        <w:tc>
          <w:tcPr>
            <w:tcW w:w="3005" w:type="dxa"/>
          </w:tcPr>
          <w:p w14:paraId="2655DD39"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Rent</w:t>
            </w:r>
          </w:p>
        </w:tc>
        <w:tc>
          <w:tcPr>
            <w:tcW w:w="3005" w:type="dxa"/>
          </w:tcPr>
          <w:p w14:paraId="471492A6"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7B4AB3F5"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8,000</w:t>
            </w:r>
          </w:p>
        </w:tc>
      </w:tr>
      <w:tr w:rsidR="00F207C5" w:rsidRPr="006B15C3" w14:paraId="7E5B4DC3" w14:textId="77777777">
        <w:tc>
          <w:tcPr>
            <w:tcW w:w="3005" w:type="dxa"/>
          </w:tcPr>
          <w:p w14:paraId="5B8986B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Bills Receivable</w:t>
            </w:r>
          </w:p>
        </w:tc>
        <w:tc>
          <w:tcPr>
            <w:tcW w:w="3005" w:type="dxa"/>
          </w:tcPr>
          <w:p w14:paraId="46010C57"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40,000</w:t>
            </w:r>
          </w:p>
        </w:tc>
        <w:tc>
          <w:tcPr>
            <w:tcW w:w="3006" w:type="dxa"/>
          </w:tcPr>
          <w:p w14:paraId="31434FDB"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5C2CA60E" w14:textId="77777777">
        <w:tc>
          <w:tcPr>
            <w:tcW w:w="3005" w:type="dxa"/>
          </w:tcPr>
          <w:p w14:paraId="0FC31D7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Acceptances</w:t>
            </w:r>
          </w:p>
        </w:tc>
        <w:tc>
          <w:tcPr>
            <w:tcW w:w="3005" w:type="dxa"/>
          </w:tcPr>
          <w:p w14:paraId="4B4D253B"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699A3693"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w:t>
            </w:r>
          </w:p>
        </w:tc>
      </w:tr>
      <w:tr w:rsidR="00F207C5" w:rsidRPr="006B15C3" w14:paraId="080DEB75" w14:textId="77777777">
        <w:tc>
          <w:tcPr>
            <w:tcW w:w="3005" w:type="dxa"/>
          </w:tcPr>
          <w:p w14:paraId="37EB3C35"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General Expenses</w:t>
            </w:r>
          </w:p>
        </w:tc>
        <w:tc>
          <w:tcPr>
            <w:tcW w:w="3005" w:type="dxa"/>
          </w:tcPr>
          <w:p w14:paraId="56717DE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20,000</w:t>
            </w:r>
          </w:p>
        </w:tc>
        <w:tc>
          <w:tcPr>
            <w:tcW w:w="3006" w:type="dxa"/>
          </w:tcPr>
          <w:p w14:paraId="5AF870D8"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7BEA15B0" w14:textId="77777777">
        <w:tc>
          <w:tcPr>
            <w:tcW w:w="3005" w:type="dxa"/>
          </w:tcPr>
          <w:p w14:paraId="190EAAF1"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Rent &amp; Rates</w:t>
            </w:r>
          </w:p>
        </w:tc>
        <w:tc>
          <w:tcPr>
            <w:tcW w:w="3005" w:type="dxa"/>
          </w:tcPr>
          <w:p w14:paraId="62C0A54F"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w:t>
            </w:r>
          </w:p>
        </w:tc>
        <w:tc>
          <w:tcPr>
            <w:tcW w:w="3006" w:type="dxa"/>
          </w:tcPr>
          <w:p w14:paraId="1392A5AA"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0E81399F" w14:textId="77777777">
        <w:tc>
          <w:tcPr>
            <w:tcW w:w="3005" w:type="dxa"/>
          </w:tcPr>
          <w:p w14:paraId="5E4F0436"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Investments</w:t>
            </w:r>
          </w:p>
        </w:tc>
        <w:tc>
          <w:tcPr>
            <w:tcW w:w="3005" w:type="dxa"/>
          </w:tcPr>
          <w:p w14:paraId="18616E73"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50,000</w:t>
            </w:r>
          </w:p>
        </w:tc>
        <w:tc>
          <w:tcPr>
            <w:tcW w:w="3006" w:type="dxa"/>
          </w:tcPr>
          <w:p w14:paraId="6CD6FBA7"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56946368" w14:textId="77777777">
        <w:tc>
          <w:tcPr>
            <w:tcW w:w="3005" w:type="dxa"/>
          </w:tcPr>
          <w:p w14:paraId="0E8C374C"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Cash in hand</w:t>
            </w:r>
          </w:p>
        </w:tc>
        <w:tc>
          <w:tcPr>
            <w:tcW w:w="3005" w:type="dxa"/>
          </w:tcPr>
          <w:p w14:paraId="34320A5E"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50,000</w:t>
            </w:r>
          </w:p>
        </w:tc>
        <w:tc>
          <w:tcPr>
            <w:tcW w:w="3006" w:type="dxa"/>
          </w:tcPr>
          <w:p w14:paraId="7EC494FB"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6215FCE4" w14:textId="77777777">
        <w:tc>
          <w:tcPr>
            <w:tcW w:w="3005" w:type="dxa"/>
          </w:tcPr>
          <w:p w14:paraId="15B6814C"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lastRenderedPageBreak/>
              <w:t>Bank Overdraft</w:t>
            </w:r>
          </w:p>
        </w:tc>
        <w:tc>
          <w:tcPr>
            <w:tcW w:w="3005" w:type="dxa"/>
          </w:tcPr>
          <w:p w14:paraId="158B0565"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115AC3CB"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10,000</w:t>
            </w:r>
          </w:p>
        </w:tc>
      </w:tr>
      <w:tr w:rsidR="00F207C5" w:rsidRPr="006B15C3" w14:paraId="13DE2D8A" w14:textId="77777777">
        <w:tc>
          <w:tcPr>
            <w:tcW w:w="3005" w:type="dxa"/>
          </w:tcPr>
          <w:p w14:paraId="00938EE0"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Discount</w:t>
            </w:r>
          </w:p>
        </w:tc>
        <w:tc>
          <w:tcPr>
            <w:tcW w:w="3005" w:type="dxa"/>
          </w:tcPr>
          <w:p w14:paraId="37DCC4E6"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4,500</w:t>
            </w:r>
          </w:p>
        </w:tc>
        <w:tc>
          <w:tcPr>
            <w:tcW w:w="3006" w:type="dxa"/>
          </w:tcPr>
          <w:p w14:paraId="2B7A74C3"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14D851BD" w14:textId="77777777">
        <w:tc>
          <w:tcPr>
            <w:tcW w:w="3005" w:type="dxa"/>
          </w:tcPr>
          <w:p w14:paraId="4D85D2A9"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Bad Debts</w:t>
            </w:r>
          </w:p>
        </w:tc>
        <w:tc>
          <w:tcPr>
            <w:tcW w:w="3005" w:type="dxa"/>
          </w:tcPr>
          <w:p w14:paraId="21EF7AD5"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w:t>
            </w:r>
          </w:p>
        </w:tc>
        <w:tc>
          <w:tcPr>
            <w:tcW w:w="3006" w:type="dxa"/>
          </w:tcPr>
          <w:p w14:paraId="7B480442" w14:textId="034AECB0"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6672C4B8" w14:textId="77777777">
        <w:tc>
          <w:tcPr>
            <w:tcW w:w="3005" w:type="dxa"/>
          </w:tcPr>
          <w:p w14:paraId="49C47994"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Interest on Investments</w:t>
            </w:r>
          </w:p>
        </w:tc>
        <w:tc>
          <w:tcPr>
            <w:tcW w:w="3005" w:type="dxa"/>
          </w:tcPr>
          <w:p w14:paraId="11790C45" w14:textId="77777777" w:rsidR="00F207C5" w:rsidRPr="006B15C3" w:rsidRDefault="00F207C5" w:rsidP="009F3E25">
            <w:pPr>
              <w:spacing w:line="360" w:lineRule="auto"/>
              <w:jc w:val="both"/>
              <w:rPr>
                <w:rFonts w:ascii="Times New Roman" w:hAnsi="Times New Roman" w:cs="Times New Roman"/>
                <w:b/>
                <w:bCs/>
                <w:sz w:val="24"/>
                <w:szCs w:val="24"/>
              </w:rPr>
            </w:pPr>
          </w:p>
        </w:tc>
        <w:tc>
          <w:tcPr>
            <w:tcW w:w="3006" w:type="dxa"/>
          </w:tcPr>
          <w:p w14:paraId="6BD85CF3"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5,000</w:t>
            </w:r>
          </w:p>
        </w:tc>
      </w:tr>
      <w:tr w:rsidR="00F207C5" w:rsidRPr="006B15C3" w14:paraId="70F22411" w14:textId="77777777">
        <w:tc>
          <w:tcPr>
            <w:tcW w:w="3005" w:type="dxa"/>
          </w:tcPr>
          <w:p w14:paraId="5BF1BD27"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Interest on Bank Overdraft</w:t>
            </w:r>
          </w:p>
        </w:tc>
        <w:tc>
          <w:tcPr>
            <w:tcW w:w="3005" w:type="dxa"/>
          </w:tcPr>
          <w:p w14:paraId="63F27A1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500</w:t>
            </w:r>
          </w:p>
        </w:tc>
        <w:tc>
          <w:tcPr>
            <w:tcW w:w="3006" w:type="dxa"/>
          </w:tcPr>
          <w:p w14:paraId="684317BA"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2D63756F" w14:textId="77777777">
        <w:tc>
          <w:tcPr>
            <w:tcW w:w="3005" w:type="dxa"/>
          </w:tcPr>
          <w:p w14:paraId="145E96C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Goodwill</w:t>
            </w:r>
          </w:p>
        </w:tc>
        <w:tc>
          <w:tcPr>
            <w:tcW w:w="3005" w:type="dxa"/>
          </w:tcPr>
          <w:p w14:paraId="0BCB8B8B"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60,000</w:t>
            </w:r>
          </w:p>
        </w:tc>
        <w:tc>
          <w:tcPr>
            <w:tcW w:w="3006" w:type="dxa"/>
          </w:tcPr>
          <w:p w14:paraId="1AB503E7" w14:textId="77777777" w:rsidR="00F207C5" w:rsidRPr="006B15C3" w:rsidRDefault="00F207C5" w:rsidP="009F3E25">
            <w:pPr>
              <w:spacing w:line="360" w:lineRule="auto"/>
              <w:jc w:val="both"/>
              <w:rPr>
                <w:rFonts w:ascii="Times New Roman" w:hAnsi="Times New Roman" w:cs="Times New Roman"/>
                <w:b/>
                <w:bCs/>
                <w:sz w:val="24"/>
                <w:szCs w:val="24"/>
              </w:rPr>
            </w:pPr>
          </w:p>
        </w:tc>
      </w:tr>
      <w:tr w:rsidR="00F207C5" w:rsidRPr="006B15C3" w14:paraId="65EF8E5C" w14:textId="77777777">
        <w:tc>
          <w:tcPr>
            <w:tcW w:w="3005" w:type="dxa"/>
          </w:tcPr>
          <w:p w14:paraId="5B9CE5DC"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Total</w:t>
            </w:r>
          </w:p>
        </w:tc>
        <w:tc>
          <w:tcPr>
            <w:tcW w:w="3005" w:type="dxa"/>
          </w:tcPr>
          <w:p w14:paraId="2D2B0E27"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18,85,000</w:t>
            </w:r>
          </w:p>
        </w:tc>
        <w:tc>
          <w:tcPr>
            <w:tcW w:w="3006" w:type="dxa"/>
          </w:tcPr>
          <w:p w14:paraId="67CAB0DA" w14:textId="77777777" w:rsidR="00F207C5" w:rsidRPr="006B15C3" w:rsidRDefault="00F207C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18,85,000</w:t>
            </w:r>
          </w:p>
        </w:tc>
      </w:tr>
    </w:tbl>
    <w:p w14:paraId="34380D17" w14:textId="77777777" w:rsidR="00FE4215"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ab/>
      </w:r>
      <w:r w:rsidRPr="006B15C3">
        <w:rPr>
          <w:rFonts w:ascii="Times New Roman" w:hAnsi="Times New Roman" w:cs="Times New Roman"/>
          <w:b/>
          <w:bCs/>
          <w:sz w:val="24"/>
          <w:szCs w:val="24"/>
        </w:rPr>
        <w:tab/>
      </w:r>
    </w:p>
    <w:p w14:paraId="655B0D5C" w14:textId="7063094E" w:rsidR="00FE4215"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Additional Information</w:t>
      </w:r>
      <w:r w:rsidR="00263504" w:rsidRPr="006B15C3">
        <w:rPr>
          <w:rFonts w:ascii="Times New Roman" w:hAnsi="Times New Roman" w:cs="Times New Roman"/>
          <w:b/>
          <w:bCs/>
          <w:sz w:val="24"/>
          <w:szCs w:val="24"/>
        </w:rPr>
        <w:t>:</w:t>
      </w:r>
    </w:p>
    <w:p w14:paraId="7486ACD2" w14:textId="48DC00D5" w:rsidR="00FE4215"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1. The value of inventory on</w:t>
      </w:r>
      <w:r w:rsidR="00263504"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December 31, 2018 was Rs.</w:t>
      </w:r>
      <w:r w:rsidR="00263504"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1,00,000</w:t>
      </w:r>
      <w:r w:rsidRPr="006B15C3">
        <w:rPr>
          <w:rFonts w:ascii="Times New Roman" w:hAnsi="Times New Roman" w:cs="Times New Roman"/>
          <w:b/>
          <w:bCs/>
          <w:sz w:val="24"/>
          <w:szCs w:val="24"/>
        </w:rPr>
        <w:tab/>
      </w:r>
    </w:p>
    <w:p w14:paraId="5D9615FE" w14:textId="77777777" w:rsidR="00263504"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2. Depreciation is to be provided on: Land &amp; Building @ 5% p.a. Furniture @ 10% p.a. Plant</w:t>
      </w:r>
      <w:r w:rsidR="00263504"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&amp; Machinery Rs. 50,000.</w:t>
      </w:r>
    </w:p>
    <w:p w14:paraId="45F3CA62" w14:textId="77777777" w:rsidR="00263504"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3. Provision for Bad Debts is to be maintained @ 5% on debtors.</w:t>
      </w:r>
    </w:p>
    <w:p w14:paraId="0AFEF638" w14:textId="77777777" w:rsidR="00263504"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4. Wages are outstanding to the extent of Rs. 4,000 and Salaries to the extent of Rs. 3,000.</w:t>
      </w:r>
    </w:p>
    <w:p w14:paraId="28CE2EEA" w14:textId="77777777" w:rsidR="00263504"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5. Rent and Rates are prepaid to the extent of 1/4th of the amount paid.</w:t>
      </w:r>
    </w:p>
    <w:p w14:paraId="225B415A" w14:textId="77777777" w:rsidR="00263504" w:rsidRPr="006B15C3" w:rsidRDefault="00FE4215"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6. Interest on Investment</w:t>
      </w:r>
      <w:r w:rsidR="00263504"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outstanding is Rs.</w:t>
      </w:r>
      <w:r w:rsidR="00263504" w:rsidRPr="006B15C3">
        <w:rPr>
          <w:rFonts w:ascii="Times New Roman" w:hAnsi="Times New Roman" w:cs="Times New Roman"/>
          <w:b/>
          <w:bCs/>
          <w:sz w:val="24"/>
          <w:szCs w:val="24"/>
        </w:rPr>
        <w:t xml:space="preserve"> </w:t>
      </w:r>
      <w:r w:rsidRPr="006B15C3">
        <w:rPr>
          <w:rFonts w:ascii="Times New Roman" w:hAnsi="Times New Roman" w:cs="Times New Roman"/>
          <w:b/>
          <w:bCs/>
          <w:sz w:val="24"/>
          <w:szCs w:val="24"/>
        </w:rPr>
        <w:t>1,000</w:t>
      </w:r>
    </w:p>
    <w:p w14:paraId="519ACF17" w14:textId="4581C0D8" w:rsidR="002B5A6B" w:rsidRDefault="00FE4215" w:rsidP="009F3E25">
      <w:pPr>
        <w:spacing w:line="360" w:lineRule="auto"/>
        <w:jc w:val="both"/>
        <w:rPr>
          <w:rFonts w:ascii="Times New Roman" w:hAnsi="Times New Roman" w:cs="Times New Roman"/>
          <w:sz w:val="24"/>
          <w:szCs w:val="24"/>
        </w:rPr>
      </w:pPr>
      <w:r w:rsidRPr="006B15C3">
        <w:rPr>
          <w:rFonts w:ascii="Times New Roman" w:hAnsi="Times New Roman" w:cs="Times New Roman"/>
          <w:b/>
          <w:bCs/>
          <w:sz w:val="24"/>
          <w:szCs w:val="24"/>
        </w:rPr>
        <w:t>7. Rent to the extent of Rs. 2,000 has been received in advance.</w:t>
      </w:r>
    </w:p>
    <w:p w14:paraId="766741B5" w14:textId="6BE82313" w:rsidR="005556E4" w:rsidRPr="006B15C3" w:rsidRDefault="005556E4"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rPr>
        <w:t>Answer:</w:t>
      </w:r>
    </w:p>
    <w:p w14:paraId="59ECDF95" w14:textId="0CF52DE2" w:rsidR="006B15C3" w:rsidRPr="006B15C3" w:rsidRDefault="006B15C3" w:rsidP="009F3E25">
      <w:pPr>
        <w:spacing w:line="360" w:lineRule="auto"/>
        <w:jc w:val="both"/>
        <w:rPr>
          <w:rFonts w:ascii="Times New Roman" w:hAnsi="Times New Roman" w:cs="Times New Roman"/>
          <w:b/>
          <w:bCs/>
          <w:sz w:val="24"/>
          <w:szCs w:val="24"/>
        </w:rPr>
      </w:pPr>
      <w:r w:rsidRPr="006B15C3">
        <w:rPr>
          <w:rFonts w:ascii="Times New Roman" w:hAnsi="Times New Roman" w:cs="Times New Roman"/>
          <w:b/>
          <w:bCs/>
          <w:sz w:val="24"/>
          <w:szCs w:val="24"/>
          <w:u w:val="single"/>
        </w:rPr>
        <w:t>Introduction</w:t>
      </w:r>
      <w:r w:rsidRPr="006B15C3">
        <w:rPr>
          <w:rFonts w:ascii="Times New Roman" w:hAnsi="Times New Roman" w:cs="Times New Roman"/>
          <w:b/>
          <w:bCs/>
          <w:sz w:val="24"/>
          <w:szCs w:val="24"/>
        </w:rPr>
        <w:t>:</w:t>
      </w:r>
    </w:p>
    <w:p w14:paraId="006B616C" w14:textId="7E533A09" w:rsidR="005556E4" w:rsidRDefault="006B15C3" w:rsidP="00751AAA">
      <w:pPr>
        <w:spacing w:line="360" w:lineRule="auto"/>
        <w:jc w:val="both"/>
        <w:rPr>
          <w:rFonts w:ascii="Times New Roman" w:hAnsi="Times New Roman" w:cs="Times New Roman"/>
          <w:sz w:val="24"/>
          <w:szCs w:val="24"/>
        </w:rPr>
      </w:pPr>
      <w:r w:rsidRPr="006B15C3">
        <w:rPr>
          <w:rFonts w:ascii="Times New Roman" w:hAnsi="Times New Roman" w:cs="Times New Roman"/>
          <w:sz w:val="24"/>
          <w:szCs w:val="24"/>
        </w:rPr>
        <w:t>The preparation of final accounts is an essential step in the accounting cycle that helps determine the financial performance and position of a business at the end of a financial year. For Gupta &amp; Sons, the trial balance as on December 31, 2018, provides a summary of all ledger balances, including assets, liabilities, capital, revenues, and expenses. The final accounts consist of the Trading Account, Profit &amp; Loss Account, and the Balance Sheet, which collectively illustrate the profit or loss earned during the year and the financial position of the firm. Adjustments such as depreciation, provisions for bad debts, outstanding expenses, prepaid items, and closing inventory are necessary to ensure accuracy.</w:t>
      </w:r>
    </w:p>
    <w:p w14:paraId="36E508E3" w14:textId="77777777" w:rsidR="005556E4" w:rsidRPr="00FE4215" w:rsidRDefault="005556E4" w:rsidP="009F3E25">
      <w:pPr>
        <w:spacing w:line="360" w:lineRule="auto"/>
        <w:jc w:val="both"/>
        <w:rPr>
          <w:rFonts w:ascii="Times New Roman" w:hAnsi="Times New Roman" w:cs="Times New Roman"/>
          <w:sz w:val="24"/>
          <w:szCs w:val="24"/>
        </w:rPr>
      </w:pPr>
    </w:p>
    <w:sectPr w:rsidR="005556E4" w:rsidRPr="00FE4215" w:rsidSect="0058180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15"/>
    <w:rsid w:val="00000C8B"/>
    <w:rsid w:val="00033A2D"/>
    <w:rsid w:val="00034E3B"/>
    <w:rsid w:val="000C6FB0"/>
    <w:rsid w:val="000E6F71"/>
    <w:rsid w:val="001046AE"/>
    <w:rsid w:val="00111605"/>
    <w:rsid w:val="00143C06"/>
    <w:rsid w:val="00171F07"/>
    <w:rsid w:val="00195326"/>
    <w:rsid w:val="001F6B1A"/>
    <w:rsid w:val="002408F1"/>
    <w:rsid w:val="002609A4"/>
    <w:rsid w:val="00261E90"/>
    <w:rsid w:val="00263504"/>
    <w:rsid w:val="00270358"/>
    <w:rsid w:val="002A6550"/>
    <w:rsid w:val="002B5A6B"/>
    <w:rsid w:val="002F1AD4"/>
    <w:rsid w:val="00310D87"/>
    <w:rsid w:val="0032277F"/>
    <w:rsid w:val="00325B1A"/>
    <w:rsid w:val="003B59D5"/>
    <w:rsid w:val="0045506B"/>
    <w:rsid w:val="004946FA"/>
    <w:rsid w:val="004C5345"/>
    <w:rsid w:val="004E608E"/>
    <w:rsid w:val="00533E2B"/>
    <w:rsid w:val="005556E4"/>
    <w:rsid w:val="00581803"/>
    <w:rsid w:val="005B0CAE"/>
    <w:rsid w:val="006B15C3"/>
    <w:rsid w:val="006F01BC"/>
    <w:rsid w:val="00701F98"/>
    <w:rsid w:val="00751AAA"/>
    <w:rsid w:val="00804F0A"/>
    <w:rsid w:val="0084217A"/>
    <w:rsid w:val="008A3539"/>
    <w:rsid w:val="008A4EAB"/>
    <w:rsid w:val="008D1260"/>
    <w:rsid w:val="008D4BCC"/>
    <w:rsid w:val="00920039"/>
    <w:rsid w:val="00966FBB"/>
    <w:rsid w:val="009B4D78"/>
    <w:rsid w:val="009F3E25"/>
    <w:rsid w:val="00A1242A"/>
    <w:rsid w:val="00A15018"/>
    <w:rsid w:val="00A34813"/>
    <w:rsid w:val="00B071E9"/>
    <w:rsid w:val="00B072C9"/>
    <w:rsid w:val="00B32C6E"/>
    <w:rsid w:val="00B76D2D"/>
    <w:rsid w:val="00B8629E"/>
    <w:rsid w:val="00BE6F6D"/>
    <w:rsid w:val="00C371E8"/>
    <w:rsid w:val="00C406FF"/>
    <w:rsid w:val="00C60BCB"/>
    <w:rsid w:val="00C82637"/>
    <w:rsid w:val="00D0407A"/>
    <w:rsid w:val="00D848A7"/>
    <w:rsid w:val="00E151FF"/>
    <w:rsid w:val="00F207C5"/>
    <w:rsid w:val="00FD3359"/>
    <w:rsid w:val="00FE4215"/>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AE88"/>
  <w15:chartTrackingRefBased/>
  <w15:docId w15:val="{B240D5A4-0198-4649-BB55-AC4F2499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15"/>
    <w:rPr>
      <w:rFonts w:eastAsiaTheme="majorEastAsia" w:cstheme="majorBidi"/>
      <w:color w:val="272727" w:themeColor="text1" w:themeTint="D8"/>
    </w:rPr>
  </w:style>
  <w:style w:type="paragraph" w:styleId="Title">
    <w:name w:val="Title"/>
    <w:basedOn w:val="Normal"/>
    <w:next w:val="Normal"/>
    <w:link w:val="TitleChar"/>
    <w:uiPriority w:val="10"/>
    <w:qFormat/>
    <w:rsid w:val="00FE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15"/>
    <w:pPr>
      <w:spacing w:before="160"/>
      <w:jc w:val="center"/>
    </w:pPr>
    <w:rPr>
      <w:i/>
      <w:iCs/>
      <w:color w:val="404040" w:themeColor="text1" w:themeTint="BF"/>
    </w:rPr>
  </w:style>
  <w:style w:type="character" w:customStyle="1" w:styleId="QuoteChar">
    <w:name w:val="Quote Char"/>
    <w:basedOn w:val="DefaultParagraphFont"/>
    <w:link w:val="Quote"/>
    <w:uiPriority w:val="29"/>
    <w:rsid w:val="00FE4215"/>
    <w:rPr>
      <w:i/>
      <w:iCs/>
      <w:color w:val="404040" w:themeColor="text1" w:themeTint="BF"/>
    </w:rPr>
  </w:style>
  <w:style w:type="paragraph" w:styleId="ListParagraph">
    <w:name w:val="List Paragraph"/>
    <w:basedOn w:val="Normal"/>
    <w:uiPriority w:val="34"/>
    <w:qFormat/>
    <w:rsid w:val="00FE4215"/>
    <w:pPr>
      <w:ind w:left="720"/>
      <w:contextualSpacing/>
    </w:pPr>
  </w:style>
  <w:style w:type="character" w:styleId="IntenseEmphasis">
    <w:name w:val="Intense Emphasis"/>
    <w:basedOn w:val="DefaultParagraphFont"/>
    <w:uiPriority w:val="21"/>
    <w:qFormat/>
    <w:rsid w:val="00FE4215"/>
    <w:rPr>
      <w:i/>
      <w:iCs/>
      <w:color w:val="2F5496" w:themeColor="accent1" w:themeShade="BF"/>
    </w:rPr>
  </w:style>
  <w:style w:type="paragraph" w:styleId="IntenseQuote">
    <w:name w:val="Intense Quote"/>
    <w:basedOn w:val="Normal"/>
    <w:next w:val="Normal"/>
    <w:link w:val="IntenseQuoteChar"/>
    <w:uiPriority w:val="30"/>
    <w:qFormat/>
    <w:rsid w:val="00FE4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215"/>
    <w:rPr>
      <w:i/>
      <w:iCs/>
      <w:color w:val="2F5496" w:themeColor="accent1" w:themeShade="BF"/>
    </w:rPr>
  </w:style>
  <w:style w:type="character" w:styleId="IntenseReference">
    <w:name w:val="Intense Reference"/>
    <w:basedOn w:val="DefaultParagraphFont"/>
    <w:uiPriority w:val="32"/>
    <w:qFormat/>
    <w:rsid w:val="00FE4215"/>
    <w:rPr>
      <w:b/>
      <w:bCs/>
      <w:smallCaps/>
      <w:color w:val="2F5496" w:themeColor="accent1" w:themeShade="BF"/>
      <w:spacing w:val="5"/>
    </w:rPr>
  </w:style>
  <w:style w:type="table" w:styleId="TableGrid">
    <w:name w:val="Table Grid"/>
    <w:basedOn w:val="TableNormal"/>
    <w:uiPriority w:val="39"/>
    <w:rsid w:val="00F2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8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2025-09-16T16:16:00Z</dcterms:created>
  <dcterms:modified xsi:type="dcterms:W3CDTF">2025-09-22T15:41:00Z</dcterms:modified>
</cp:coreProperties>
</file>