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DA3F" w14:textId="56744C52" w:rsidR="00690EBF" w:rsidRPr="00690EBF" w:rsidRDefault="00690EBF" w:rsidP="00C70AC0">
      <w:pPr>
        <w:spacing w:line="360" w:lineRule="auto"/>
        <w:jc w:val="center"/>
        <w:rPr>
          <w:rFonts w:ascii="Times New Roman" w:hAnsi="Times New Roman" w:cs="Times New Roman"/>
          <w:b/>
          <w:bCs/>
          <w:sz w:val="24"/>
          <w:szCs w:val="24"/>
          <w:u w:val="single"/>
        </w:rPr>
      </w:pPr>
      <w:r w:rsidRPr="00690EBF">
        <w:rPr>
          <w:rFonts w:ascii="Times New Roman" w:hAnsi="Times New Roman" w:cs="Times New Roman"/>
          <w:b/>
          <w:bCs/>
          <w:sz w:val="24"/>
          <w:szCs w:val="24"/>
          <w:u w:val="single"/>
        </w:rPr>
        <w:t>Taxation - Direct and Indirect</w:t>
      </w:r>
    </w:p>
    <w:p w14:paraId="55B692E5" w14:textId="34E6C63D" w:rsidR="00690EBF" w:rsidRPr="008D6227" w:rsidRDefault="00690EBF"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Q1. A manufacturing company located in Maharashtra has the following financial data for the financial year 2022-23:</w:t>
      </w:r>
    </w:p>
    <w:tbl>
      <w:tblPr>
        <w:tblStyle w:val="TableGrid"/>
        <w:tblW w:w="0" w:type="auto"/>
        <w:tblLook w:val="04A0" w:firstRow="1" w:lastRow="0" w:firstColumn="1" w:lastColumn="0" w:noHBand="0" w:noVBand="1"/>
      </w:tblPr>
      <w:tblGrid>
        <w:gridCol w:w="6745"/>
        <w:gridCol w:w="2271"/>
      </w:tblGrid>
      <w:tr w:rsidR="00AB59FD" w:rsidRPr="008D6227" w14:paraId="2D083CEF" w14:textId="77777777" w:rsidTr="00AB59FD">
        <w:tc>
          <w:tcPr>
            <w:tcW w:w="6745" w:type="dxa"/>
            <w:shd w:val="clear" w:color="auto" w:fill="E7E6E6" w:themeFill="background2"/>
          </w:tcPr>
          <w:p w14:paraId="3097ADFB"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Particulars</w:t>
            </w:r>
          </w:p>
        </w:tc>
        <w:tc>
          <w:tcPr>
            <w:tcW w:w="2271" w:type="dxa"/>
            <w:shd w:val="clear" w:color="auto" w:fill="E7E6E6" w:themeFill="background2"/>
          </w:tcPr>
          <w:p w14:paraId="45FA43CF"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Amount (Rs.)</w:t>
            </w:r>
          </w:p>
        </w:tc>
      </w:tr>
      <w:tr w:rsidR="00AB59FD" w:rsidRPr="008D6227" w14:paraId="5338EC73" w14:textId="77777777" w:rsidTr="00AB59FD">
        <w:tc>
          <w:tcPr>
            <w:tcW w:w="6745" w:type="dxa"/>
          </w:tcPr>
          <w:p w14:paraId="30166368"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Gross Sales (excluding GST)</w:t>
            </w:r>
          </w:p>
        </w:tc>
        <w:tc>
          <w:tcPr>
            <w:tcW w:w="2271" w:type="dxa"/>
          </w:tcPr>
          <w:p w14:paraId="65F06AAA"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2,50,00,000</w:t>
            </w:r>
          </w:p>
        </w:tc>
      </w:tr>
      <w:tr w:rsidR="00AB59FD" w:rsidRPr="008D6227" w14:paraId="042F7D70" w14:textId="77777777" w:rsidTr="00AB59FD">
        <w:tc>
          <w:tcPr>
            <w:tcW w:w="6745" w:type="dxa"/>
          </w:tcPr>
          <w:p w14:paraId="49D3D8CF"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Raw Material Purchases (intra-state, GST @18%)</w:t>
            </w:r>
          </w:p>
        </w:tc>
        <w:tc>
          <w:tcPr>
            <w:tcW w:w="2271" w:type="dxa"/>
          </w:tcPr>
          <w:p w14:paraId="5F315FA7"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80,00,000</w:t>
            </w:r>
          </w:p>
        </w:tc>
      </w:tr>
      <w:tr w:rsidR="00AB59FD" w:rsidRPr="008D6227" w14:paraId="0222234D" w14:textId="77777777" w:rsidTr="00AB59FD">
        <w:tc>
          <w:tcPr>
            <w:tcW w:w="6745" w:type="dxa"/>
          </w:tcPr>
          <w:p w14:paraId="2CEBD727"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Other Input Services (inter-state, IGST @18%)</w:t>
            </w:r>
          </w:p>
        </w:tc>
        <w:tc>
          <w:tcPr>
            <w:tcW w:w="2271" w:type="dxa"/>
          </w:tcPr>
          <w:p w14:paraId="6EA9C61C"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20,00,000</w:t>
            </w:r>
          </w:p>
        </w:tc>
      </w:tr>
      <w:tr w:rsidR="00AB59FD" w:rsidRPr="008D6227" w14:paraId="1670003F" w14:textId="77777777" w:rsidTr="00AB59FD">
        <w:tc>
          <w:tcPr>
            <w:tcW w:w="6745" w:type="dxa"/>
          </w:tcPr>
          <w:p w14:paraId="72B0EFA6"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Capital Goods Purchased (intra-state, GST @18%)</w:t>
            </w:r>
          </w:p>
        </w:tc>
        <w:tc>
          <w:tcPr>
            <w:tcW w:w="2271" w:type="dxa"/>
          </w:tcPr>
          <w:p w14:paraId="08E6B9BB"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10,00,000</w:t>
            </w:r>
          </w:p>
        </w:tc>
      </w:tr>
      <w:tr w:rsidR="00AB59FD" w:rsidRPr="008D6227" w14:paraId="361C7BE9" w14:textId="77777777" w:rsidTr="00AB59FD">
        <w:tc>
          <w:tcPr>
            <w:tcW w:w="6745" w:type="dxa"/>
          </w:tcPr>
          <w:p w14:paraId="61C62509"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Exempted Sales (included in Gross Sales)</w:t>
            </w:r>
          </w:p>
        </w:tc>
        <w:tc>
          <w:tcPr>
            <w:tcW w:w="2271" w:type="dxa"/>
          </w:tcPr>
          <w:p w14:paraId="0987B44C"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30,00,000</w:t>
            </w:r>
          </w:p>
        </w:tc>
      </w:tr>
      <w:tr w:rsidR="00AB59FD" w:rsidRPr="008D6227" w14:paraId="444E4543" w14:textId="77777777" w:rsidTr="00AB59FD">
        <w:tc>
          <w:tcPr>
            <w:tcW w:w="6745" w:type="dxa"/>
          </w:tcPr>
          <w:p w14:paraId="7DCA6B3D"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Salary Paid to Employees</w:t>
            </w:r>
          </w:p>
        </w:tc>
        <w:tc>
          <w:tcPr>
            <w:tcW w:w="2271" w:type="dxa"/>
          </w:tcPr>
          <w:p w14:paraId="5980FBF1"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40,00,000</w:t>
            </w:r>
          </w:p>
        </w:tc>
      </w:tr>
      <w:tr w:rsidR="00AB59FD" w:rsidRPr="008D6227" w14:paraId="5CEF2F17" w14:textId="77777777" w:rsidTr="00AB59FD">
        <w:tc>
          <w:tcPr>
            <w:tcW w:w="6745" w:type="dxa"/>
          </w:tcPr>
          <w:p w14:paraId="09C3E6B9"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Depreciation on Capital Goods (as per Income Tax Act)</w:t>
            </w:r>
          </w:p>
        </w:tc>
        <w:tc>
          <w:tcPr>
            <w:tcW w:w="2271" w:type="dxa"/>
          </w:tcPr>
          <w:p w14:paraId="3B76F058" w14:textId="77777777" w:rsidR="00AB59FD" w:rsidRPr="008D6227" w:rsidRDefault="00AB59FD"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1,50,000</w:t>
            </w:r>
          </w:p>
        </w:tc>
      </w:tr>
    </w:tbl>
    <w:p w14:paraId="4F359F9D" w14:textId="2BCB480C" w:rsidR="00690EBF" w:rsidRPr="008D6227" w:rsidRDefault="00690EBF" w:rsidP="00C70AC0">
      <w:pPr>
        <w:spacing w:line="360" w:lineRule="auto"/>
        <w:jc w:val="both"/>
        <w:rPr>
          <w:rFonts w:ascii="Times New Roman" w:hAnsi="Times New Roman" w:cs="Times New Roman"/>
          <w:b/>
          <w:bCs/>
          <w:sz w:val="24"/>
          <w:szCs w:val="24"/>
        </w:rPr>
      </w:pPr>
    </w:p>
    <w:p w14:paraId="0AD8ED40" w14:textId="77777777" w:rsidR="002826CB" w:rsidRDefault="00690EBF" w:rsidP="00C70AC0">
      <w:pPr>
        <w:spacing w:line="360" w:lineRule="auto"/>
        <w:jc w:val="both"/>
        <w:rPr>
          <w:rFonts w:ascii="Times New Roman" w:hAnsi="Times New Roman" w:cs="Times New Roman"/>
          <w:sz w:val="24"/>
          <w:szCs w:val="24"/>
        </w:rPr>
      </w:pPr>
      <w:r w:rsidRPr="008D6227">
        <w:rPr>
          <w:rFonts w:ascii="Times New Roman" w:hAnsi="Times New Roman" w:cs="Times New Roman"/>
          <w:b/>
          <w:bCs/>
          <w:sz w:val="24"/>
          <w:szCs w:val="24"/>
        </w:rPr>
        <w:t>The company charges GST @18% on taxable sales. During the year, it failed to pay GST on Rs.10,00,000 of taxable sales, which was detected and paid with interest @18% p.a. after 6 months. Calculate: (a) The net GST payable after adjusting eligible input tax credit (ITC), considering proportionate reversal for exempted sales as per GST law; (b) The total interest liability for delayed payment; (c) The allowable depreciation on capital goods for income tax purposes, considering the ITC availed. Show all steps, assumptions, and justifications.</w:t>
      </w:r>
    </w:p>
    <w:p w14:paraId="5F8A812D" w14:textId="2C84A5F3" w:rsidR="001C22FF" w:rsidRPr="008D6227" w:rsidRDefault="001C22FF" w:rsidP="00C70AC0">
      <w:pPr>
        <w:spacing w:line="360" w:lineRule="auto"/>
        <w:jc w:val="both"/>
        <w:rPr>
          <w:rFonts w:ascii="Times New Roman" w:hAnsi="Times New Roman" w:cs="Times New Roman"/>
          <w:b/>
          <w:bCs/>
          <w:sz w:val="24"/>
          <w:szCs w:val="24"/>
        </w:rPr>
      </w:pPr>
      <w:r w:rsidRPr="008D6227">
        <w:rPr>
          <w:rFonts w:ascii="Times New Roman" w:hAnsi="Times New Roman" w:cs="Times New Roman"/>
          <w:b/>
          <w:bCs/>
          <w:sz w:val="24"/>
          <w:szCs w:val="24"/>
        </w:rPr>
        <w:t>Answer:</w:t>
      </w:r>
    </w:p>
    <w:p w14:paraId="71739408" w14:textId="1C3A3A9E" w:rsidR="00480236" w:rsidRPr="00303AC4" w:rsidRDefault="00480236" w:rsidP="00C70AC0">
      <w:pPr>
        <w:spacing w:line="360" w:lineRule="auto"/>
        <w:jc w:val="both"/>
        <w:rPr>
          <w:rFonts w:ascii="Times New Roman" w:hAnsi="Times New Roman" w:cs="Times New Roman"/>
          <w:b/>
          <w:bCs/>
          <w:sz w:val="24"/>
          <w:szCs w:val="24"/>
        </w:rPr>
      </w:pPr>
      <w:r w:rsidRPr="00303AC4">
        <w:rPr>
          <w:rFonts w:ascii="Times New Roman" w:hAnsi="Times New Roman" w:cs="Times New Roman"/>
          <w:b/>
          <w:bCs/>
          <w:sz w:val="24"/>
          <w:szCs w:val="24"/>
          <w:u w:val="single"/>
        </w:rPr>
        <w:t>Introduction</w:t>
      </w:r>
      <w:r w:rsidR="00303AC4" w:rsidRPr="00303AC4">
        <w:rPr>
          <w:rFonts w:ascii="Times New Roman" w:hAnsi="Times New Roman" w:cs="Times New Roman"/>
          <w:b/>
          <w:bCs/>
          <w:sz w:val="24"/>
          <w:szCs w:val="24"/>
        </w:rPr>
        <w:t>:</w:t>
      </w:r>
    </w:p>
    <w:p w14:paraId="7A02E86B" w14:textId="77777777" w:rsidR="00480236" w:rsidRDefault="00480236" w:rsidP="00C70AC0">
      <w:pPr>
        <w:spacing w:line="360" w:lineRule="auto"/>
        <w:jc w:val="both"/>
        <w:rPr>
          <w:rFonts w:ascii="Times New Roman" w:hAnsi="Times New Roman" w:cs="Times New Roman"/>
          <w:sz w:val="24"/>
          <w:szCs w:val="24"/>
        </w:rPr>
      </w:pPr>
      <w:r w:rsidRPr="00480236">
        <w:rPr>
          <w:rFonts w:ascii="Times New Roman" w:hAnsi="Times New Roman" w:cs="Times New Roman"/>
          <w:sz w:val="24"/>
          <w:szCs w:val="24"/>
        </w:rPr>
        <w:t>Goods and Services Tax (GST) is a comprehensive indirect tax levied on the manufacture, sale, and consumption of goods and services across India. It is designed as a value-added tax that allows seamless input tax credit (ITC) across the supply chain. For any registered taxpayer, the tax liability on outward taxable supplies (sales) is offset by the input tax credit on eligible purchases and input services, subject to compliance with certain conditions. However, when a portion of sales is exempted, as in the present case, proportionate reversal of ITC becomes mandatory under Rule 42 of the CGST Rules.</w:t>
      </w:r>
    </w:p>
    <w:p w14:paraId="26CE0F46" w14:textId="77777777" w:rsidR="00530B85" w:rsidRPr="00D72EFC" w:rsidRDefault="00530B85" w:rsidP="00530B85">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4A2CADF2" w14:textId="77777777" w:rsidR="00530B85" w:rsidRPr="00D72EFC" w:rsidRDefault="00530B85" w:rsidP="00530B85">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2F19FBA0" w14:textId="77777777" w:rsidR="00530B85" w:rsidRPr="00D72EFC" w:rsidRDefault="00530B85" w:rsidP="00530B85">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lastRenderedPageBreak/>
        <w:t>General/Generic Assignment at just ₹200 per assignment.</w:t>
      </w:r>
    </w:p>
    <w:p w14:paraId="12D6F362" w14:textId="77777777" w:rsidR="00530B85" w:rsidRPr="00D72EFC" w:rsidRDefault="00530B85" w:rsidP="00530B85">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B43AA4D" w14:textId="77777777" w:rsidR="00530B85" w:rsidRPr="00A3365B" w:rsidRDefault="00530B85" w:rsidP="00530B85">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DE9328D" w14:textId="77777777" w:rsidR="00530B85" w:rsidRPr="00A3365B" w:rsidRDefault="00530B85" w:rsidP="00530B85">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06451841" w14:textId="77777777" w:rsidR="00530B85" w:rsidRPr="00A3365B" w:rsidRDefault="00530B85" w:rsidP="00530B85">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23C01E9A" w14:textId="77777777" w:rsidR="00530B85" w:rsidRDefault="00530B85" w:rsidP="00530B85">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7D3E3E62" w14:textId="77777777" w:rsidR="00C70AC0" w:rsidRPr="00480236" w:rsidRDefault="00C70AC0" w:rsidP="00C70AC0">
      <w:pPr>
        <w:spacing w:line="360" w:lineRule="auto"/>
        <w:jc w:val="both"/>
        <w:rPr>
          <w:rFonts w:ascii="Times New Roman" w:hAnsi="Times New Roman" w:cs="Times New Roman"/>
          <w:sz w:val="24"/>
          <w:szCs w:val="24"/>
        </w:rPr>
      </w:pPr>
    </w:p>
    <w:p w14:paraId="15FDDE2E" w14:textId="30D58841" w:rsidR="002826CB" w:rsidRPr="004B4DB6" w:rsidRDefault="00690EBF" w:rsidP="00C70AC0">
      <w:pPr>
        <w:spacing w:line="360" w:lineRule="auto"/>
        <w:jc w:val="both"/>
        <w:rPr>
          <w:rFonts w:ascii="Times New Roman" w:hAnsi="Times New Roman" w:cs="Times New Roman"/>
          <w:b/>
          <w:bCs/>
          <w:sz w:val="24"/>
          <w:szCs w:val="24"/>
        </w:rPr>
      </w:pPr>
      <w:r w:rsidRPr="004B4DB6">
        <w:rPr>
          <w:rFonts w:ascii="Times New Roman" w:hAnsi="Times New Roman" w:cs="Times New Roman"/>
          <w:b/>
          <w:bCs/>
          <w:sz w:val="24"/>
          <w:szCs w:val="24"/>
        </w:rPr>
        <w:t>Q2. GlobalTech India Pvt. Ltd. makes regular royalty and technical service payments to its parent company in a country with which India does not have a DTAA. The finance team is unsure about the applicable TDS rates, the process for claiming unilateral relief under section 91, and the risk of double taxation. The CFO seeks a comprehensive evaluation of the company’s exposure and compliance strategy. Assess the strategic considerations a multinational company must address when dealing with TDS obligations on cross-border payments, especially in the absence of a Double Taxation Avoidance Agreement (DTAA). Critique the available relief mechanisms and recommend best practices for compliance.</w:t>
      </w:r>
    </w:p>
    <w:p w14:paraId="7CD438E8" w14:textId="41EC9502" w:rsidR="0033072F" w:rsidRPr="004B4DB6" w:rsidRDefault="0033072F" w:rsidP="00C70AC0">
      <w:pPr>
        <w:spacing w:line="360" w:lineRule="auto"/>
        <w:jc w:val="both"/>
        <w:rPr>
          <w:rFonts w:ascii="Times New Roman" w:hAnsi="Times New Roman" w:cs="Times New Roman"/>
          <w:b/>
          <w:bCs/>
          <w:sz w:val="24"/>
          <w:szCs w:val="24"/>
        </w:rPr>
      </w:pPr>
      <w:r w:rsidRPr="004B4DB6">
        <w:rPr>
          <w:rFonts w:ascii="Times New Roman" w:hAnsi="Times New Roman" w:cs="Times New Roman"/>
          <w:b/>
          <w:bCs/>
          <w:sz w:val="24"/>
          <w:szCs w:val="24"/>
        </w:rPr>
        <w:t>Answer:</w:t>
      </w:r>
    </w:p>
    <w:p w14:paraId="234F9FEA" w14:textId="37F49591" w:rsidR="006719F9" w:rsidRPr="00601CDC" w:rsidRDefault="006719F9" w:rsidP="00C70AC0">
      <w:pPr>
        <w:spacing w:line="360" w:lineRule="auto"/>
        <w:jc w:val="both"/>
        <w:rPr>
          <w:rFonts w:ascii="Times New Roman" w:hAnsi="Times New Roman" w:cs="Times New Roman"/>
          <w:b/>
          <w:bCs/>
          <w:sz w:val="24"/>
          <w:szCs w:val="24"/>
        </w:rPr>
      </w:pPr>
      <w:r w:rsidRPr="00601CDC">
        <w:rPr>
          <w:rFonts w:ascii="Times New Roman" w:hAnsi="Times New Roman" w:cs="Times New Roman"/>
          <w:b/>
          <w:bCs/>
          <w:sz w:val="24"/>
          <w:szCs w:val="24"/>
          <w:u w:val="single"/>
        </w:rPr>
        <w:t>Introduction</w:t>
      </w:r>
      <w:r w:rsidR="00601CDC" w:rsidRPr="00601CDC">
        <w:rPr>
          <w:rFonts w:ascii="Times New Roman" w:hAnsi="Times New Roman" w:cs="Times New Roman"/>
          <w:b/>
          <w:bCs/>
          <w:sz w:val="24"/>
          <w:szCs w:val="24"/>
        </w:rPr>
        <w:t>:</w:t>
      </w:r>
    </w:p>
    <w:p w14:paraId="40B6A47B" w14:textId="77777777" w:rsidR="006719F9" w:rsidRPr="006719F9" w:rsidRDefault="006719F9" w:rsidP="00C70AC0">
      <w:pPr>
        <w:spacing w:line="360" w:lineRule="auto"/>
        <w:jc w:val="both"/>
        <w:rPr>
          <w:rFonts w:ascii="Times New Roman" w:hAnsi="Times New Roman" w:cs="Times New Roman"/>
          <w:sz w:val="24"/>
          <w:szCs w:val="24"/>
        </w:rPr>
      </w:pPr>
      <w:r w:rsidRPr="006719F9">
        <w:rPr>
          <w:rFonts w:ascii="Times New Roman" w:hAnsi="Times New Roman" w:cs="Times New Roman"/>
          <w:sz w:val="24"/>
          <w:szCs w:val="24"/>
        </w:rPr>
        <w:t>GlobalTech India Pvt. Ltd., like many multinational corporations, engages in cross-border payments to its parent entity for royalties and technical services. These transactions fall under the category of “income deemed to accrue or arise in India” as per Section 9 of the Income Tax Act, 1961. In normal situations, a Double Taxation Avoidance Agreement (DTAA) between India and the recipient country provides clarity and relief from double taxation. However, in GlobalTech’s case, the parent company resides in a country with which India does not have a DTAA. This absence poses serious challenges related to withholding tax (TDS) obligations, risk of double taxation, and complexities in compliance.</w:t>
      </w:r>
    </w:p>
    <w:p w14:paraId="41A75E09" w14:textId="010ACA41" w:rsidR="00690EBF" w:rsidRPr="0068760F" w:rsidRDefault="00690EBF"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lastRenderedPageBreak/>
        <w:t>Q3 (A). A business entity has the following GST-related transactions in a tax period:</w:t>
      </w:r>
    </w:p>
    <w:tbl>
      <w:tblPr>
        <w:tblStyle w:val="TableGrid"/>
        <w:tblW w:w="0" w:type="auto"/>
        <w:tblLook w:val="04A0" w:firstRow="1" w:lastRow="0" w:firstColumn="1" w:lastColumn="0" w:noHBand="0" w:noVBand="1"/>
      </w:tblPr>
      <w:tblGrid>
        <w:gridCol w:w="5665"/>
        <w:gridCol w:w="1710"/>
        <w:gridCol w:w="1641"/>
      </w:tblGrid>
      <w:tr w:rsidR="002826CB" w:rsidRPr="0068760F" w14:paraId="7BD83E1F" w14:textId="77777777" w:rsidTr="002826CB">
        <w:tc>
          <w:tcPr>
            <w:tcW w:w="5665" w:type="dxa"/>
            <w:shd w:val="clear" w:color="auto" w:fill="E7E6E6" w:themeFill="background2"/>
          </w:tcPr>
          <w:p w14:paraId="2D18D8CB"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Particulars</w:t>
            </w:r>
          </w:p>
        </w:tc>
        <w:tc>
          <w:tcPr>
            <w:tcW w:w="1710" w:type="dxa"/>
            <w:shd w:val="clear" w:color="auto" w:fill="E7E6E6" w:themeFill="background2"/>
          </w:tcPr>
          <w:p w14:paraId="2D41B0EC"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Amount (Rs.)</w:t>
            </w:r>
          </w:p>
        </w:tc>
        <w:tc>
          <w:tcPr>
            <w:tcW w:w="1641" w:type="dxa"/>
            <w:shd w:val="clear" w:color="auto" w:fill="E7E6E6" w:themeFill="background2"/>
          </w:tcPr>
          <w:p w14:paraId="4C2D2B05"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GST Rate</w:t>
            </w:r>
          </w:p>
        </w:tc>
      </w:tr>
      <w:tr w:rsidR="002826CB" w:rsidRPr="0068760F" w14:paraId="35C9FBAF" w14:textId="77777777" w:rsidTr="002826CB">
        <w:tc>
          <w:tcPr>
            <w:tcW w:w="5665" w:type="dxa"/>
          </w:tcPr>
          <w:p w14:paraId="31D42D43"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Output supply (taxable goods)</w:t>
            </w:r>
          </w:p>
        </w:tc>
        <w:tc>
          <w:tcPr>
            <w:tcW w:w="1710" w:type="dxa"/>
          </w:tcPr>
          <w:p w14:paraId="33D942E0"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15,00,000</w:t>
            </w:r>
          </w:p>
        </w:tc>
        <w:tc>
          <w:tcPr>
            <w:tcW w:w="1641" w:type="dxa"/>
          </w:tcPr>
          <w:p w14:paraId="30E7558E"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18%</w:t>
            </w:r>
          </w:p>
        </w:tc>
      </w:tr>
      <w:tr w:rsidR="002826CB" w:rsidRPr="0068760F" w14:paraId="38CE6D7A" w14:textId="77777777" w:rsidTr="002826CB">
        <w:tc>
          <w:tcPr>
            <w:tcW w:w="5665" w:type="dxa"/>
          </w:tcPr>
          <w:p w14:paraId="20C92CE9"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Purchase of raw materials (from registered dealer)</w:t>
            </w:r>
          </w:p>
        </w:tc>
        <w:tc>
          <w:tcPr>
            <w:tcW w:w="1710" w:type="dxa"/>
          </w:tcPr>
          <w:p w14:paraId="60CCB34B"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3,00,000</w:t>
            </w:r>
          </w:p>
        </w:tc>
        <w:tc>
          <w:tcPr>
            <w:tcW w:w="1641" w:type="dxa"/>
          </w:tcPr>
          <w:p w14:paraId="28073D7B"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18%</w:t>
            </w:r>
          </w:p>
        </w:tc>
      </w:tr>
      <w:tr w:rsidR="002826CB" w:rsidRPr="0068760F" w14:paraId="2E5E792C" w14:textId="77777777" w:rsidTr="002826CB">
        <w:tc>
          <w:tcPr>
            <w:tcW w:w="5665" w:type="dxa"/>
          </w:tcPr>
          <w:p w14:paraId="624ABA55"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Purchase of capital goods (eligible for ITC)</w:t>
            </w:r>
          </w:p>
        </w:tc>
        <w:tc>
          <w:tcPr>
            <w:tcW w:w="1710" w:type="dxa"/>
          </w:tcPr>
          <w:p w14:paraId="67DB46FD"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2,00,000</w:t>
            </w:r>
          </w:p>
        </w:tc>
        <w:tc>
          <w:tcPr>
            <w:tcW w:w="1641" w:type="dxa"/>
          </w:tcPr>
          <w:p w14:paraId="623F3844"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18%</w:t>
            </w:r>
          </w:p>
        </w:tc>
      </w:tr>
      <w:tr w:rsidR="002826CB" w:rsidRPr="0068760F" w14:paraId="65A9A07C" w14:textId="77777777" w:rsidTr="002826CB">
        <w:tc>
          <w:tcPr>
            <w:tcW w:w="5665" w:type="dxa"/>
          </w:tcPr>
          <w:p w14:paraId="795B591C"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Purchase of office supplies (from unregistered dealer):</w:t>
            </w:r>
          </w:p>
        </w:tc>
        <w:tc>
          <w:tcPr>
            <w:tcW w:w="1710" w:type="dxa"/>
          </w:tcPr>
          <w:p w14:paraId="407675FE"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Rs. 1,00,000</w:t>
            </w:r>
          </w:p>
        </w:tc>
        <w:tc>
          <w:tcPr>
            <w:tcW w:w="1641" w:type="dxa"/>
          </w:tcPr>
          <w:p w14:paraId="1B995DA1" w14:textId="77777777" w:rsidR="002826CB" w:rsidRPr="0068760F" w:rsidRDefault="002826CB"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 xml:space="preserve"> Nil GST</w:t>
            </w:r>
          </w:p>
        </w:tc>
      </w:tr>
    </w:tbl>
    <w:p w14:paraId="14F740E8" w14:textId="77777777" w:rsidR="00690EBF" w:rsidRPr="0068760F" w:rsidRDefault="00690EBF" w:rsidP="00C70AC0">
      <w:pPr>
        <w:spacing w:line="360" w:lineRule="auto"/>
        <w:jc w:val="both"/>
        <w:rPr>
          <w:rFonts w:ascii="Times New Roman" w:hAnsi="Times New Roman" w:cs="Times New Roman"/>
          <w:b/>
          <w:bCs/>
          <w:sz w:val="24"/>
          <w:szCs w:val="24"/>
        </w:rPr>
      </w:pPr>
    </w:p>
    <w:p w14:paraId="49142C65" w14:textId="77777777" w:rsidR="00690EBF" w:rsidRPr="0068760F" w:rsidRDefault="00690EBF"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The entity also made an exempt supply of Rs. 2,00,000 during the period.</w:t>
      </w:r>
    </w:p>
    <w:p w14:paraId="25F8086B" w14:textId="77777777" w:rsidR="00690EBF" w:rsidRPr="0068760F" w:rsidRDefault="00690EBF"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Compute:</w:t>
      </w:r>
    </w:p>
    <w:p w14:paraId="3767AFA9" w14:textId="77777777" w:rsidR="00690EBF" w:rsidRPr="0068760F" w:rsidRDefault="00690EBF"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(a) The total input tax credit available,</w:t>
      </w:r>
    </w:p>
    <w:p w14:paraId="1FCAC87A" w14:textId="77777777" w:rsidR="00690EBF" w:rsidRPr="0068760F" w:rsidRDefault="00690EBF"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(b) The proportion of ITC to be reversed due to exempt supply,</w:t>
      </w:r>
    </w:p>
    <w:p w14:paraId="38A0064D" w14:textId="77777777" w:rsidR="002826CB" w:rsidRPr="0068760F" w:rsidRDefault="00690EBF"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(c) The net GST payable.</w:t>
      </w:r>
    </w:p>
    <w:p w14:paraId="76F747F4" w14:textId="5A9783AC" w:rsidR="00690EBF" w:rsidRDefault="00690EBF" w:rsidP="00C70AC0">
      <w:pPr>
        <w:spacing w:line="360" w:lineRule="auto"/>
        <w:jc w:val="both"/>
        <w:rPr>
          <w:rFonts w:ascii="Times New Roman" w:hAnsi="Times New Roman" w:cs="Times New Roman"/>
          <w:sz w:val="24"/>
          <w:szCs w:val="24"/>
        </w:rPr>
      </w:pPr>
      <w:r w:rsidRPr="0068760F">
        <w:rPr>
          <w:rFonts w:ascii="Times New Roman" w:hAnsi="Times New Roman" w:cs="Times New Roman"/>
          <w:b/>
          <w:bCs/>
          <w:sz w:val="24"/>
          <w:szCs w:val="24"/>
        </w:rPr>
        <w:t>Show all steps, including the formula for ITC reversal.</w:t>
      </w:r>
    </w:p>
    <w:p w14:paraId="70C457D6" w14:textId="02ECD44E" w:rsidR="00E1193C" w:rsidRPr="0068760F" w:rsidRDefault="00E1193C" w:rsidP="00C70AC0">
      <w:pPr>
        <w:spacing w:line="360" w:lineRule="auto"/>
        <w:jc w:val="both"/>
        <w:rPr>
          <w:rFonts w:ascii="Times New Roman" w:hAnsi="Times New Roman" w:cs="Times New Roman"/>
          <w:b/>
          <w:bCs/>
          <w:sz w:val="24"/>
          <w:szCs w:val="24"/>
        </w:rPr>
      </w:pPr>
      <w:r w:rsidRPr="0068760F">
        <w:rPr>
          <w:rFonts w:ascii="Times New Roman" w:hAnsi="Times New Roman" w:cs="Times New Roman"/>
          <w:b/>
          <w:bCs/>
          <w:sz w:val="24"/>
          <w:szCs w:val="24"/>
        </w:rPr>
        <w:t>Answer:</w:t>
      </w:r>
    </w:p>
    <w:p w14:paraId="06ECDE27" w14:textId="38C0D8DB" w:rsidR="00777501" w:rsidRPr="00141A73" w:rsidRDefault="00777501" w:rsidP="00C70AC0">
      <w:pPr>
        <w:spacing w:line="360" w:lineRule="auto"/>
        <w:jc w:val="both"/>
        <w:rPr>
          <w:rFonts w:ascii="Times New Roman" w:hAnsi="Times New Roman" w:cs="Times New Roman"/>
          <w:b/>
          <w:bCs/>
          <w:sz w:val="24"/>
          <w:szCs w:val="24"/>
        </w:rPr>
      </w:pPr>
      <w:r w:rsidRPr="00141A73">
        <w:rPr>
          <w:rFonts w:ascii="Times New Roman" w:hAnsi="Times New Roman" w:cs="Times New Roman"/>
          <w:b/>
          <w:bCs/>
          <w:sz w:val="24"/>
          <w:szCs w:val="24"/>
          <w:u w:val="single"/>
        </w:rPr>
        <w:t>Introduction</w:t>
      </w:r>
      <w:r w:rsidRPr="00141A73">
        <w:rPr>
          <w:rFonts w:ascii="Times New Roman" w:hAnsi="Times New Roman" w:cs="Times New Roman"/>
          <w:b/>
          <w:bCs/>
          <w:sz w:val="24"/>
          <w:szCs w:val="24"/>
        </w:rPr>
        <w:t>:</w:t>
      </w:r>
    </w:p>
    <w:p w14:paraId="2D5A7BC6" w14:textId="52169ABE" w:rsidR="00141A73" w:rsidRDefault="00777501" w:rsidP="00C705E8">
      <w:pPr>
        <w:spacing w:line="360" w:lineRule="auto"/>
        <w:jc w:val="both"/>
        <w:rPr>
          <w:rFonts w:ascii="Times New Roman" w:hAnsi="Times New Roman" w:cs="Times New Roman"/>
          <w:sz w:val="24"/>
          <w:szCs w:val="24"/>
        </w:rPr>
      </w:pPr>
      <w:r w:rsidRPr="00777501">
        <w:rPr>
          <w:rFonts w:ascii="Times New Roman" w:hAnsi="Times New Roman" w:cs="Times New Roman"/>
          <w:sz w:val="24"/>
          <w:szCs w:val="24"/>
        </w:rPr>
        <w:t>Goods and Services Tax (GST) is a comprehensive indirect tax levied on the supply of goods and services in India. Under the GST framework, businesses are allowed to claim Input Tax Credit (ITC) for the tax paid on purchases used in the course or furtherance of business. However, when a business makes both taxable and exempt supplies, it must reverse a proportionate part of ITC related to exempt supplies, as per Rule 42 of the CGST Rules.</w:t>
      </w:r>
    </w:p>
    <w:p w14:paraId="25BC393A" w14:textId="77777777" w:rsidR="00C705E8" w:rsidRDefault="00C705E8" w:rsidP="00C705E8">
      <w:pPr>
        <w:spacing w:line="360" w:lineRule="auto"/>
        <w:jc w:val="both"/>
        <w:rPr>
          <w:rFonts w:ascii="Times New Roman" w:hAnsi="Times New Roman" w:cs="Times New Roman"/>
          <w:sz w:val="24"/>
          <w:szCs w:val="24"/>
        </w:rPr>
      </w:pPr>
    </w:p>
    <w:p w14:paraId="07905315" w14:textId="77777777" w:rsidR="00690EBF" w:rsidRPr="00EB2196" w:rsidRDefault="00690EBF"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Q3 (B) A registered dealer in Maharashtra makes the following intra-state and inter-state sales during a month:</w:t>
      </w:r>
    </w:p>
    <w:tbl>
      <w:tblPr>
        <w:tblStyle w:val="TableGrid"/>
        <w:tblW w:w="0" w:type="auto"/>
        <w:tblLook w:val="04A0" w:firstRow="1" w:lastRow="0" w:firstColumn="1" w:lastColumn="0" w:noHBand="0" w:noVBand="1"/>
      </w:tblPr>
      <w:tblGrid>
        <w:gridCol w:w="3005"/>
        <w:gridCol w:w="3005"/>
        <w:gridCol w:w="3006"/>
      </w:tblGrid>
      <w:tr w:rsidR="002826CB" w:rsidRPr="00EB2196" w14:paraId="752281CF" w14:textId="77777777" w:rsidTr="002826CB">
        <w:tc>
          <w:tcPr>
            <w:tcW w:w="3005" w:type="dxa"/>
            <w:shd w:val="clear" w:color="auto" w:fill="E7E6E6" w:themeFill="background2"/>
          </w:tcPr>
          <w:p w14:paraId="215B4932"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Type of Sale</w:t>
            </w:r>
          </w:p>
        </w:tc>
        <w:tc>
          <w:tcPr>
            <w:tcW w:w="3005" w:type="dxa"/>
            <w:shd w:val="clear" w:color="auto" w:fill="E7E6E6" w:themeFill="background2"/>
          </w:tcPr>
          <w:p w14:paraId="4613B943"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Value (Rs.)</w:t>
            </w:r>
          </w:p>
        </w:tc>
        <w:tc>
          <w:tcPr>
            <w:tcW w:w="3006" w:type="dxa"/>
            <w:shd w:val="clear" w:color="auto" w:fill="E7E6E6" w:themeFill="background2"/>
          </w:tcPr>
          <w:p w14:paraId="7DB71EB8"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GST Rate</w:t>
            </w:r>
          </w:p>
        </w:tc>
      </w:tr>
      <w:tr w:rsidR="002826CB" w:rsidRPr="00EB2196" w14:paraId="5D75CD8E" w14:textId="77777777">
        <w:tc>
          <w:tcPr>
            <w:tcW w:w="3005" w:type="dxa"/>
          </w:tcPr>
          <w:p w14:paraId="47DAE3E6"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Intra-state sale of goods A</w:t>
            </w:r>
          </w:p>
        </w:tc>
        <w:tc>
          <w:tcPr>
            <w:tcW w:w="3005" w:type="dxa"/>
          </w:tcPr>
          <w:p w14:paraId="3365D894"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5,00,000</w:t>
            </w:r>
          </w:p>
        </w:tc>
        <w:tc>
          <w:tcPr>
            <w:tcW w:w="3006" w:type="dxa"/>
          </w:tcPr>
          <w:p w14:paraId="6532806D"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12%</w:t>
            </w:r>
          </w:p>
        </w:tc>
      </w:tr>
      <w:tr w:rsidR="002826CB" w:rsidRPr="00EB2196" w14:paraId="5590CB78" w14:textId="77777777">
        <w:tc>
          <w:tcPr>
            <w:tcW w:w="3005" w:type="dxa"/>
          </w:tcPr>
          <w:p w14:paraId="0B5BB960"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Intra-state sale of goods B</w:t>
            </w:r>
          </w:p>
        </w:tc>
        <w:tc>
          <w:tcPr>
            <w:tcW w:w="3005" w:type="dxa"/>
          </w:tcPr>
          <w:p w14:paraId="58E343DB"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3,00,000</w:t>
            </w:r>
          </w:p>
        </w:tc>
        <w:tc>
          <w:tcPr>
            <w:tcW w:w="3006" w:type="dxa"/>
          </w:tcPr>
          <w:p w14:paraId="21AF1A4D"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18%</w:t>
            </w:r>
          </w:p>
        </w:tc>
      </w:tr>
      <w:tr w:rsidR="002826CB" w:rsidRPr="00EB2196" w14:paraId="50E57497" w14:textId="77777777">
        <w:tc>
          <w:tcPr>
            <w:tcW w:w="3005" w:type="dxa"/>
          </w:tcPr>
          <w:p w14:paraId="2EDAB015"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Inter-state sale of goods C</w:t>
            </w:r>
          </w:p>
        </w:tc>
        <w:tc>
          <w:tcPr>
            <w:tcW w:w="3005" w:type="dxa"/>
          </w:tcPr>
          <w:p w14:paraId="16A1E847"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2,00,000</w:t>
            </w:r>
          </w:p>
        </w:tc>
        <w:tc>
          <w:tcPr>
            <w:tcW w:w="3006" w:type="dxa"/>
          </w:tcPr>
          <w:p w14:paraId="5C58ACAE"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5%</w:t>
            </w:r>
          </w:p>
        </w:tc>
      </w:tr>
    </w:tbl>
    <w:p w14:paraId="7EA0FD34" w14:textId="77777777" w:rsidR="002826CB" w:rsidRPr="00EB2196" w:rsidRDefault="002826CB" w:rsidP="00C70AC0">
      <w:pPr>
        <w:spacing w:line="360" w:lineRule="auto"/>
        <w:jc w:val="both"/>
        <w:rPr>
          <w:rFonts w:ascii="Times New Roman" w:hAnsi="Times New Roman" w:cs="Times New Roman"/>
          <w:b/>
          <w:bCs/>
          <w:sz w:val="24"/>
          <w:szCs w:val="24"/>
        </w:rPr>
      </w:pPr>
    </w:p>
    <w:p w14:paraId="5B143414" w14:textId="1753A300" w:rsidR="00690EBF" w:rsidRPr="00EB2196" w:rsidRDefault="00690EBF"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The dealer purchased inputs as follows:</w:t>
      </w:r>
    </w:p>
    <w:tbl>
      <w:tblPr>
        <w:tblStyle w:val="TableGrid"/>
        <w:tblW w:w="0" w:type="auto"/>
        <w:tblLook w:val="04A0" w:firstRow="1" w:lastRow="0" w:firstColumn="1" w:lastColumn="0" w:noHBand="0" w:noVBand="1"/>
      </w:tblPr>
      <w:tblGrid>
        <w:gridCol w:w="5215"/>
        <w:gridCol w:w="1980"/>
        <w:gridCol w:w="1821"/>
      </w:tblGrid>
      <w:tr w:rsidR="002826CB" w:rsidRPr="00EB2196" w14:paraId="7F1A9AFD" w14:textId="77777777" w:rsidTr="002826CB">
        <w:tc>
          <w:tcPr>
            <w:tcW w:w="5215" w:type="dxa"/>
            <w:shd w:val="clear" w:color="auto" w:fill="E7E6E6" w:themeFill="background2"/>
          </w:tcPr>
          <w:p w14:paraId="32F16972"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Type of Purchase</w:t>
            </w:r>
          </w:p>
        </w:tc>
        <w:tc>
          <w:tcPr>
            <w:tcW w:w="1980" w:type="dxa"/>
            <w:shd w:val="clear" w:color="auto" w:fill="E7E6E6" w:themeFill="background2"/>
          </w:tcPr>
          <w:p w14:paraId="726707F6"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Value (Rs.)</w:t>
            </w:r>
          </w:p>
        </w:tc>
        <w:tc>
          <w:tcPr>
            <w:tcW w:w="1821" w:type="dxa"/>
            <w:shd w:val="clear" w:color="auto" w:fill="E7E6E6" w:themeFill="background2"/>
          </w:tcPr>
          <w:p w14:paraId="75A9687E"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GST Rate</w:t>
            </w:r>
          </w:p>
        </w:tc>
      </w:tr>
      <w:tr w:rsidR="002826CB" w:rsidRPr="00EB2196" w14:paraId="0FA72219" w14:textId="77777777" w:rsidTr="002826CB">
        <w:tc>
          <w:tcPr>
            <w:tcW w:w="5215" w:type="dxa"/>
          </w:tcPr>
          <w:p w14:paraId="3AB8C76F"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Intra-state purchase of raw material X</w:t>
            </w:r>
          </w:p>
        </w:tc>
        <w:tc>
          <w:tcPr>
            <w:tcW w:w="1980" w:type="dxa"/>
          </w:tcPr>
          <w:p w14:paraId="5DC7B9F9"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2,00,000</w:t>
            </w:r>
          </w:p>
        </w:tc>
        <w:tc>
          <w:tcPr>
            <w:tcW w:w="1821" w:type="dxa"/>
          </w:tcPr>
          <w:p w14:paraId="52367EB1"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12%</w:t>
            </w:r>
          </w:p>
        </w:tc>
      </w:tr>
      <w:tr w:rsidR="002826CB" w:rsidRPr="00EB2196" w14:paraId="78B5804F" w14:textId="77777777" w:rsidTr="002826CB">
        <w:tc>
          <w:tcPr>
            <w:tcW w:w="5215" w:type="dxa"/>
          </w:tcPr>
          <w:p w14:paraId="19D3CBBC"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Inter-state purchase of raw material Y</w:t>
            </w:r>
          </w:p>
        </w:tc>
        <w:tc>
          <w:tcPr>
            <w:tcW w:w="1980" w:type="dxa"/>
          </w:tcPr>
          <w:p w14:paraId="6D3BBD0B"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1,00,000</w:t>
            </w:r>
          </w:p>
        </w:tc>
        <w:tc>
          <w:tcPr>
            <w:tcW w:w="1821" w:type="dxa"/>
          </w:tcPr>
          <w:p w14:paraId="27D02F5B" w14:textId="77777777" w:rsidR="002826CB" w:rsidRPr="00EB2196" w:rsidRDefault="002826CB"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18%</w:t>
            </w:r>
          </w:p>
        </w:tc>
      </w:tr>
    </w:tbl>
    <w:p w14:paraId="2372A91A" w14:textId="77777777" w:rsidR="002826CB" w:rsidRPr="00EB2196" w:rsidRDefault="002826CB" w:rsidP="00C70AC0">
      <w:pPr>
        <w:spacing w:line="360" w:lineRule="auto"/>
        <w:jc w:val="both"/>
        <w:rPr>
          <w:rFonts w:ascii="Times New Roman" w:hAnsi="Times New Roman" w:cs="Times New Roman"/>
          <w:b/>
          <w:bCs/>
          <w:sz w:val="24"/>
          <w:szCs w:val="24"/>
        </w:rPr>
      </w:pPr>
    </w:p>
    <w:p w14:paraId="11BEE977" w14:textId="43F4DA97" w:rsidR="00690EBF" w:rsidRDefault="00690EBF" w:rsidP="00C70AC0">
      <w:pPr>
        <w:spacing w:line="360" w:lineRule="auto"/>
        <w:jc w:val="both"/>
        <w:rPr>
          <w:rFonts w:ascii="Times New Roman" w:hAnsi="Times New Roman" w:cs="Times New Roman"/>
          <w:sz w:val="24"/>
          <w:szCs w:val="24"/>
        </w:rPr>
      </w:pPr>
      <w:r w:rsidRPr="00EB2196">
        <w:rPr>
          <w:rFonts w:ascii="Times New Roman" w:hAnsi="Times New Roman" w:cs="Times New Roman"/>
          <w:b/>
          <w:bCs/>
          <w:sz w:val="24"/>
          <w:szCs w:val="24"/>
        </w:rPr>
        <w:t>Compute: (a) Output GST liability (CGST, SGST, IGST), (b) Input tax credit available, (c) Net GST payable (with set-off rules applied). Show all steps, including allocation of ITC.</w:t>
      </w:r>
    </w:p>
    <w:p w14:paraId="513ED2F8" w14:textId="369302A9" w:rsidR="007559B9" w:rsidRPr="00EB2196" w:rsidRDefault="007559B9" w:rsidP="00C70AC0">
      <w:pPr>
        <w:spacing w:line="360" w:lineRule="auto"/>
        <w:jc w:val="both"/>
        <w:rPr>
          <w:rFonts w:ascii="Times New Roman" w:hAnsi="Times New Roman" w:cs="Times New Roman"/>
          <w:b/>
          <w:bCs/>
          <w:sz w:val="24"/>
          <w:szCs w:val="24"/>
        </w:rPr>
      </w:pPr>
      <w:r w:rsidRPr="00EB2196">
        <w:rPr>
          <w:rFonts w:ascii="Times New Roman" w:hAnsi="Times New Roman" w:cs="Times New Roman"/>
          <w:b/>
          <w:bCs/>
          <w:sz w:val="24"/>
          <w:szCs w:val="24"/>
        </w:rPr>
        <w:t>Answer:</w:t>
      </w:r>
    </w:p>
    <w:p w14:paraId="032927E8" w14:textId="4FE8A565" w:rsidR="00B34E8E" w:rsidRPr="00F16DB8" w:rsidRDefault="00B34E8E" w:rsidP="00C70AC0">
      <w:pPr>
        <w:spacing w:line="360" w:lineRule="auto"/>
        <w:jc w:val="both"/>
        <w:rPr>
          <w:rFonts w:ascii="Times New Roman" w:hAnsi="Times New Roman" w:cs="Times New Roman"/>
          <w:b/>
          <w:bCs/>
          <w:sz w:val="24"/>
          <w:szCs w:val="24"/>
        </w:rPr>
      </w:pPr>
      <w:r w:rsidRPr="00F16DB8">
        <w:rPr>
          <w:rFonts w:ascii="Times New Roman" w:hAnsi="Times New Roman" w:cs="Times New Roman"/>
          <w:b/>
          <w:bCs/>
          <w:sz w:val="24"/>
          <w:szCs w:val="24"/>
          <w:u w:val="single"/>
        </w:rPr>
        <w:t>Introduction</w:t>
      </w:r>
      <w:r w:rsidRPr="00F16DB8">
        <w:rPr>
          <w:rFonts w:ascii="Times New Roman" w:hAnsi="Times New Roman" w:cs="Times New Roman"/>
          <w:b/>
          <w:bCs/>
          <w:sz w:val="24"/>
          <w:szCs w:val="24"/>
        </w:rPr>
        <w:t>:</w:t>
      </w:r>
    </w:p>
    <w:p w14:paraId="5CECABBF" w14:textId="1726A3F9" w:rsidR="00B34E8E" w:rsidRPr="00B34E8E" w:rsidRDefault="00B34E8E" w:rsidP="00C70AC0">
      <w:pPr>
        <w:spacing w:line="360" w:lineRule="auto"/>
        <w:jc w:val="both"/>
        <w:rPr>
          <w:rFonts w:ascii="Times New Roman" w:hAnsi="Times New Roman" w:cs="Times New Roman"/>
          <w:sz w:val="24"/>
          <w:szCs w:val="24"/>
        </w:rPr>
      </w:pPr>
      <w:r w:rsidRPr="00B34E8E">
        <w:rPr>
          <w:rFonts w:ascii="Times New Roman" w:hAnsi="Times New Roman" w:cs="Times New Roman"/>
          <w:sz w:val="24"/>
          <w:szCs w:val="24"/>
        </w:rPr>
        <w:t>In the context of Goods and Services Tax (GST) in India, registered dealers are required to compute their tax liabilities on the basis of their outward supplies (sales) and claim eligible Input Tax Credit (ITC) on purchases. The GST is levied differently based on whether the transaction is intra-state (within the same state) or inter-state (between different states). Intra-state sales attract Central GST (CGST) and State GST (SGST), while inter-state sales attract Integrated GST (IGST). This answer explains the step-by-step computation of (a) Output GST liability, (b) Input Tax Credit available, and (c) Net GST payable, based on the set-off rules</w:t>
      </w:r>
      <w:r w:rsidR="008B2091">
        <w:rPr>
          <w:rFonts w:ascii="Times New Roman" w:hAnsi="Times New Roman" w:cs="Times New Roman"/>
          <w:sz w:val="24"/>
          <w:szCs w:val="24"/>
        </w:rPr>
        <w:t>.</w:t>
      </w:r>
    </w:p>
    <w:sectPr w:rsidR="00B34E8E" w:rsidRPr="00B34E8E" w:rsidSect="0085125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96916"/>
    <w:multiLevelType w:val="hybridMultilevel"/>
    <w:tmpl w:val="81E46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780195D"/>
    <w:multiLevelType w:val="hybridMultilevel"/>
    <w:tmpl w:val="90C45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1480306">
    <w:abstractNumId w:val="1"/>
  </w:num>
  <w:num w:numId="2" w16cid:durableId="191207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BF"/>
    <w:rsid w:val="000E6F71"/>
    <w:rsid w:val="00111605"/>
    <w:rsid w:val="00141A73"/>
    <w:rsid w:val="00143C06"/>
    <w:rsid w:val="00171F07"/>
    <w:rsid w:val="001C22FF"/>
    <w:rsid w:val="001F401D"/>
    <w:rsid w:val="001F6B1A"/>
    <w:rsid w:val="002276BD"/>
    <w:rsid w:val="002408F1"/>
    <w:rsid w:val="00261E90"/>
    <w:rsid w:val="002826CB"/>
    <w:rsid w:val="002B5A6B"/>
    <w:rsid w:val="00303AC4"/>
    <w:rsid w:val="0033072F"/>
    <w:rsid w:val="003B59D5"/>
    <w:rsid w:val="003F13D5"/>
    <w:rsid w:val="003F503C"/>
    <w:rsid w:val="004108DF"/>
    <w:rsid w:val="00480236"/>
    <w:rsid w:val="004B4DB6"/>
    <w:rsid w:val="004C5345"/>
    <w:rsid w:val="00530B85"/>
    <w:rsid w:val="00533E2B"/>
    <w:rsid w:val="005B1B03"/>
    <w:rsid w:val="005E262A"/>
    <w:rsid w:val="00601CDC"/>
    <w:rsid w:val="006719F9"/>
    <w:rsid w:val="0068760F"/>
    <w:rsid w:val="00690EBF"/>
    <w:rsid w:val="006F01BC"/>
    <w:rsid w:val="007559B9"/>
    <w:rsid w:val="00777501"/>
    <w:rsid w:val="0084217A"/>
    <w:rsid w:val="00851259"/>
    <w:rsid w:val="008A3539"/>
    <w:rsid w:val="008A4EAB"/>
    <w:rsid w:val="008B2091"/>
    <w:rsid w:val="008D1260"/>
    <w:rsid w:val="008D4BCC"/>
    <w:rsid w:val="008D6227"/>
    <w:rsid w:val="009752E4"/>
    <w:rsid w:val="009B4D78"/>
    <w:rsid w:val="00A1242A"/>
    <w:rsid w:val="00A34813"/>
    <w:rsid w:val="00AB59FD"/>
    <w:rsid w:val="00B071E9"/>
    <w:rsid w:val="00B072C9"/>
    <w:rsid w:val="00B32C6E"/>
    <w:rsid w:val="00B34E8E"/>
    <w:rsid w:val="00B47886"/>
    <w:rsid w:val="00B76D2D"/>
    <w:rsid w:val="00BE6F6D"/>
    <w:rsid w:val="00C371E8"/>
    <w:rsid w:val="00C406FF"/>
    <w:rsid w:val="00C60BCB"/>
    <w:rsid w:val="00C705E8"/>
    <w:rsid w:val="00C70AC0"/>
    <w:rsid w:val="00C763E4"/>
    <w:rsid w:val="00C82637"/>
    <w:rsid w:val="00E1193C"/>
    <w:rsid w:val="00EB2196"/>
    <w:rsid w:val="00F16DB8"/>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C88C"/>
  <w15:chartTrackingRefBased/>
  <w15:docId w15:val="{41ADDD14-A157-42BA-B91B-F483D304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EBF"/>
    <w:rPr>
      <w:rFonts w:eastAsiaTheme="majorEastAsia" w:cstheme="majorBidi"/>
      <w:color w:val="272727" w:themeColor="text1" w:themeTint="D8"/>
    </w:rPr>
  </w:style>
  <w:style w:type="paragraph" w:styleId="Title">
    <w:name w:val="Title"/>
    <w:basedOn w:val="Normal"/>
    <w:next w:val="Normal"/>
    <w:link w:val="TitleChar"/>
    <w:uiPriority w:val="10"/>
    <w:qFormat/>
    <w:rsid w:val="00690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EBF"/>
    <w:pPr>
      <w:spacing w:before="160"/>
      <w:jc w:val="center"/>
    </w:pPr>
    <w:rPr>
      <w:i/>
      <w:iCs/>
      <w:color w:val="404040" w:themeColor="text1" w:themeTint="BF"/>
    </w:rPr>
  </w:style>
  <w:style w:type="character" w:customStyle="1" w:styleId="QuoteChar">
    <w:name w:val="Quote Char"/>
    <w:basedOn w:val="DefaultParagraphFont"/>
    <w:link w:val="Quote"/>
    <w:uiPriority w:val="29"/>
    <w:rsid w:val="00690EBF"/>
    <w:rPr>
      <w:i/>
      <w:iCs/>
      <w:color w:val="404040" w:themeColor="text1" w:themeTint="BF"/>
    </w:rPr>
  </w:style>
  <w:style w:type="paragraph" w:styleId="ListParagraph">
    <w:name w:val="List Paragraph"/>
    <w:basedOn w:val="Normal"/>
    <w:uiPriority w:val="34"/>
    <w:qFormat/>
    <w:rsid w:val="00690EBF"/>
    <w:pPr>
      <w:ind w:left="720"/>
      <w:contextualSpacing/>
    </w:pPr>
  </w:style>
  <w:style w:type="character" w:styleId="IntenseEmphasis">
    <w:name w:val="Intense Emphasis"/>
    <w:basedOn w:val="DefaultParagraphFont"/>
    <w:uiPriority w:val="21"/>
    <w:qFormat/>
    <w:rsid w:val="00690EBF"/>
    <w:rPr>
      <w:i/>
      <w:iCs/>
      <w:color w:val="2F5496" w:themeColor="accent1" w:themeShade="BF"/>
    </w:rPr>
  </w:style>
  <w:style w:type="paragraph" w:styleId="IntenseQuote">
    <w:name w:val="Intense Quote"/>
    <w:basedOn w:val="Normal"/>
    <w:next w:val="Normal"/>
    <w:link w:val="IntenseQuoteChar"/>
    <w:uiPriority w:val="30"/>
    <w:qFormat/>
    <w:rsid w:val="00690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EBF"/>
    <w:rPr>
      <w:i/>
      <w:iCs/>
      <w:color w:val="2F5496" w:themeColor="accent1" w:themeShade="BF"/>
    </w:rPr>
  </w:style>
  <w:style w:type="character" w:styleId="IntenseReference">
    <w:name w:val="Intense Reference"/>
    <w:basedOn w:val="DefaultParagraphFont"/>
    <w:uiPriority w:val="32"/>
    <w:qFormat/>
    <w:rsid w:val="00690EBF"/>
    <w:rPr>
      <w:b/>
      <w:bCs/>
      <w:smallCaps/>
      <w:color w:val="2F5496" w:themeColor="accent1" w:themeShade="BF"/>
      <w:spacing w:val="5"/>
    </w:rPr>
  </w:style>
  <w:style w:type="table" w:styleId="TableGrid">
    <w:name w:val="Table Grid"/>
    <w:basedOn w:val="TableNormal"/>
    <w:uiPriority w:val="39"/>
    <w:rsid w:val="00AB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3AC4"/>
    <w:rPr>
      <w:color w:val="666666"/>
    </w:rPr>
  </w:style>
  <w:style w:type="character" w:styleId="Hyperlink">
    <w:name w:val="Hyperlink"/>
    <w:basedOn w:val="DefaultParagraphFont"/>
    <w:uiPriority w:val="99"/>
    <w:unhideWhenUsed/>
    <w:rsid w:val="00530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33</cp:revision>
  <dcterms:created xsi:type="dcterms:W3CDTF">2025-07-29T04:45:00Z</dcterms:created>
  <dcterms:modified xsi:type="dcterms:W3CDTF">2025-07-29T13:38:00Z</dcterms:modified>
</cp:coreProperties>
</file>